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56F0" w:rsidRDefault="00EA56F0" w:rsidP="00320568">
      <w:pPr>
        <w:pStyle w:val="tb-na16"/>
        <w:spacing w:after="240"/>
        <w:jc w:val="both"/>
        <w:rPr>
          <w:rFonts w:ascii="Tahoma" w:hAnsi="Tahoma" w:cs="Tahoma"/>
          <w:color w:val="000000"/>
          <w:sz w:val="20"/>
          <w:szCs w:val="20"/>
          <w:lang w:val="en-US"/>
        </w:rPr>
      </w:pPr>
    </w:p>
    <w:p w:rsidR="002130AF" w:rsidRPr="002130AF" w:rsidRDefault="002130AF" w:rsidP="002130AF">
      <w:pPr>
        <w:pStyle w:val="NoSpacing"/>
        <w:jc w:val="center"/>
        <w:rPr>
          <w:rFonts w:ascii="Tahoma" w:hAnsi="Tahoma" w:cs="Tahoma"/>
          <w:b/>
          <w:sz w:val="10"/>
          <w:lang w:val="en-US"/>
        </w:rPr>
      </w:pPr>
    </w:p>
    <w:p w:rsidR="002130AF" w:rsidRDefault="00EA56F0" w:rsidP="002130AF">
      <w:pPr>
        <w:pStyle w:val="NoSpacing"/>
        <w:jc w:val="center"/>
        <w:rPr>
          <w:rFonts w:ascii="Tahoma" w:hAnsi="Tahoma" w:cs="Tahoma"/>
          <w:b/>
          <w:lang w:val="en-US"/>
        </w:rPr>
      </w:pPr>
      <w:r w:rsidRPr="002130AF">
        <w:rPr>
          <w:rFonts w:ascii="Tahoma" w:hAnsi="Tahoma" w:cs="Tahoma"/>
          <w:b/>
          <w:lang w:val="en-US"/>
        </w:rPr>
        <w:t xml:space="preserve">OSNOVNE INFORMACIJE O ZAŠTITI DEPOZITA </w:t>
      </w:r>
    </w:p>
    <w:p w:rsidR="00320568" w:rsidRPr="002130AF" w:rsidRDefault="0002597A" w:rsidP="002130AF">
      <w:pPr>
        <w:pStyle w:val="NoSpacing"/>
        <w:rPr>
          <w:sz w:val="12"/>
          <w:lang w:val="en-US"/>
        </w:rPr>
      </w:pPr>
      <w:r w:rsidRPr="002130AF">
        <w:rPr>
          <w:noProof/>
          <w:sz w:val="12"/>
          <w:lang w:val="en-US"/>
        </w:rPr>
        <w:drawing>
          <wp:anchor distT="0" distB="0" distL="114300" distR="114300" simplePos="0" relativeHeight="251664896" behindDoc="1" locked="0" layoutInCell="1" allowOverlap="1" wp14:anchorId="136FDA3A" wp14:editId="45139D4A">
            <wp:simplePos x="0" y="0"/>
            <wp:positionH relativeFrom="page">
              <wp:posOffset>5080</wp:posOffset>
            </wp:positionH>
            <wp:positionV relativeFrom="page">
              <wp:posOffset>-2540</wp:posOffset>
            </wp:positionV>
            <wp:extent cx="7558405" cy="10691495"/>
            <wp:effectExtent l="0" t="0" r="4445" b="0"/>
            <wp:wrapNone/>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58405" cy="1069149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10774" w:type="dxa"/>
        <w:tblInd w:w="-99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983"/>
        <w:gridCol w:w="7791"/>
      </w:tblGrid>
      <w:tr w:rsidR="00320568" w:rsidRPr="0002597A" w:rsidTr="00EB26C8">
        <w:trPr>
          <w:trHeight w:val="385"/>
        </w:trPr>
        <w:tc>
          <w:tcPr>
            <w:tcW w:w="2983" w:type="dxa"/>
            <w:tcBorders>
              <w:top w:val="double" w:sz="4" w:space="0" w:color="auto"/>
              <w:left w:val="nil"/>
              <w:bottom w:val="double" w:sz="4" w:space="0" w:color="auto"/>
              <w:right w:val="double" w:sz="4" w:space="0" w:color="auto"/>
            </w:tcBorders>
            <w:vAlign w:val="center"/>
          </w:tcPr>
          <w:p w:rsidR="00320568" w:rsidRPr="00EB26C8" w:rsidRDefault="00320568" w:rsidP="00AF3DAA">
            <w:pPr>
              <w:pStyle w:val="NoSpacing"/>
              <w:rPr>
                <w:rFonts w:ascii="Tahoma" w:hAnsi="Tahoma" w:cs="Tahoma"/>
                <w:b/>
                <w:sz w:val="18"/>
                <w:szCs w:val="18"/>
                <w:lang w:val="it-IT"/>
              </w:rPr>
            </w:pPr>
            <w:r w:rsidRPr="00EB26C8">
              <w:rPr>
                <w:rFonts w:ascii="Tahoma" w:hAnsi="Tahoma" w:cs="Tahoma"/>
                <w:sz w:val="18"/>
                <w:szCs w:val="18"/>
                <w:lang w:val="it-IT"/>
              </w:rPr>
              <w:t>Depozite u</w:t>
            </w:r>
            <w:r w:rsidR="00067FFB" w:rsidRPr="00EB26C8">
              <w:rPr>
                <w:rFonts w:ascii="Tahoma" w:hAnsi="Tahoma" w:cs="Tahoma"/>
                <w:sz w:val="18"/>
                <w:szCs w:val="18"/>
                <w:lang w:val="it-IT"/>
              </w:rPr>
              <w:t xml:space="preserve"> Podravskoj banci d.d.</w:t>
            </w:r>
            <w:r w:rsidRPr="00EB26C8">
              <w:rPr>
                <w:rFonts w:ascii="Tahoma" w:hAnsi="Tahoma" w:cs="Tahoma"/>
                <w:sz w:val="18"/>
                <w:szCs w:val="18"/>
                <w:lang w:val="it-IT"/>
              </w:rPr>
              <w:t xml:space="preserve"> štiti: </w:t>
            </w:r>
          </w:p>
        </w:tc>
        <w:tc>
          <w:tcPr>
            <w:tcW w:w="7791" w:type="dxa"/>
            <w:tcBorders>
              <w:top w:val="double" w:sz="4" w:space="0" w:color="auto"/>
              <w:left w:val="double" w:sz="4" w:space="0" w:color="auto"/>
              <w:bottom w:val="double" w:sz="4" w:space="0" w:color="auto"/>
              <w:right w:val="nil"/>
            </w:tcBorders>
            <w:vAlign w:val="center"/>
          </w:tcPr>
          <w:p w:rsidR="00320568" w:rsidRPr="00EB26C8" w:rsidRDefault="00EB26C8" w:rsidP="00AF3DAA">
            <w:pPr>
              <w:pStyle w:val="NoSpacing"/>
              <w:rPr>
                <w:rFonts w:ascii="Tahoma" w:hAnsi="Tahoma" w:cs="Tahoma"/>
                <w:b/>
                <w:sz w:val="18"/>
                <w:szCs w:val="18"/>
                <w:lang w:val="it-IT"/>
              </w:rPr>
            </w:pPr>
            <w:r w:rsidRPr="00EB26C8">
              <w:rPr>
                <w:rFonts w:ascii="Tahoma" w:hAnsi="Tahoma" w:cs="Tahoma"/>
                <w:sz w:val="18"/>
                <w:szCs w:val="18"/>
                <w:lang w:val="it-IT"/>
              </w:rPr>
              <w:t>Hr</w:t>
            </w:r>
            <w:r>
              <w:rPr>
                <w:rFonts w:ascii="Tahoma" w:hAnsi="Tahoma" w:cs="Tahoma"/>
                <w:sz w:val="18"/>
                <w:szCs w:val="18"/>
                <w:lang w:val="it-IT"/>
              </w:rPr>
              <w:t xml:space="preserve">vatska </w:t>
            </w:r>
            <w:r w:rsidR="00320568" w:rsidRPr="00EB26C8">
              <w:rPr>
                <w:rFonts w:ascii="Tahoma" w:hAnsi="Tahoma" w:cs="Tahoma"/>
                <w:sz w:val="18"/>
                <w:szCs w:val="18"/>
                <w:lang w:val="it-IT"/>
              </w:rPr>
              <w:t xml:space="preserve">agencija za osiguranje </w:t>
            </w:r>
            <w:r>
              <w:rPr>
                <w:rFonts w:ascii="Tahoma" w:hAnsi="Tahoma" w:cs="Tahoma"/>
                <w:sz w:val="18"/>
                <w:szCs w:val="18"/>
                <w:lang w:val="it-IT"/>
              </w:rPr>
              <w:t>depozita</w:t>
            </w:r>
            <w:r w:rsidR="00320568" w:rsidRPr="00EB26C8">
              <w:rPr>
                <w:rFonts w:ascii="Tahoma" w:hAnsi="Tahoma" w:cs="Tahoma"/>
                <w:sz w:val="18"/>
                <w:szCs w:val="18"/>
                <w:lang w:val="it-IT"/>
              </w:rPr>
              <w:t xml:space="preserve"> </w:t>
            </w:r>
          </w:p>
        </w:tc>
      </w:tr>
      <w:tr w:rsidR="00320568" w:rsidRPr="0002597A" w:rsidTr="00EB26C8">
        <w:trPr>
          <w:trHeight w:val="385"/>
        </w:trPr>
        <w:tc>
          <w:tcPr>
            <w:tcW w:w="2983" w:type="dxa"/>
            <w:tcBorders>
              <w:top w:val="double" w:sz="4" w:space="0" w:color="auto"/>
              <w:left w:val="nil"/>
              <w:bottom w:val="double" w:sz="4" w:space="0" w:color="auto"/>
              <w:right w:val="double" w:sz="4" w:space="0" w:color="auto"/>
            </w:tcBorders>
            <w:vAlign w:val="center"/>
          </w:tcPr>
          <w:p w:rsidR="00320568" w:rsidRPr="006472EF" w:rsidRDefault="00320568" w:rsidP="00AF3DAA">
            <w:pPr>
              <w:pStyle w:val="NoSpacing"/>
              <w:rPr>
                <w:rFonts w:ascii="Tahoma" w:hAnsi="Tahoma" w:cs="Tahoma"/>
                <w:b/>
                <w:sz w:val="18"/>
                <w:szCs w:val="18"/>
                <w:lang w:val="en-US"/>
              </w:rPr>
            </w:pPr>
            <w:r w:rsidRPr="006472EF">
              <w:rPr>
                <w:rFonts w:ascii="Tahoma" w:hAnsi="Tahoma" w:cs="Tahoma"/>
                <w:sz w:val="18"/>
                <w:szCs w:val="18"/>
                <w:lang w:val="en-US"/>
              </w:rPr>
              <w:t xml:space="preserve">Ograničenje zaštite: </w:t>
            </w:r>
          </w:p>
        </w:tc>
        <w:tc>
          <w:tcPr>
            <w:tcW w:w="7791" w:type="dxa"/>
            <w:tcBorders>
              <w:top w:val="double" w:sz="4" w:space="0" w:color="auto"/>
              <w:left w:val="double" w:sz="4" w:space="0" w:color="auto"/>
              <w:bottom w:val="double" w:sz="4" w:space="0" w:color="auto"/>
              <w:right w:val="nil"/>
            </w:tcBorders>
            <w:vAlign w:val="center"/>
          </w:tcPr>
          <w:p w:rsidR="00320568" w:rsidRPr="006472EF" w:rsidRDefault="00320568" w:rsidP="00AF3DAA">
            <w:pPr>
              <w:pStyle w:val="NoSpacing"/>
              <w:rPr>
                <w:rFonts w:ascii="Tahoma" w:hAnsi="Tahoma" w:cs="Tahoma"/>
                <w:b/>
                <w:sz w:val="18"/>
                <w:szCs w:val="18"/>
                <w:lang w:val="en-US"/>
              </w:rPr>
            </w:pPr>
            <w:r w:rsidRPr="006472EF">
              <w:rPr>
                <w:rFonts w:ascii="Tahoma" w:hAnsi="Tahoma" w:cs="Tahoma"/>
                <w:sz w:val="18"/>
                <w:szCs w:val="18"/>
                <w:lang w:val="en-US"/>
              </w:rPr>
              <w:t>100.000 eura po deponentu po kreditnoj instituciji u kunskoj protuvrijednosti prema srednjem tečaju Hrvatske narodne banke važeće</w:t>
            </w:r>
            <w:r w:rsidR="00EB26C8">
              <w:rPr>
                <w:rFonts w:ascii="Tahoma" w:hAnsi="Tahoma" w:cs="Tahoma"/>
                <w:sz w:val="18"/>
                <w:szCs w:val="18"/>
                <w:lang w:val="en-US"/>
              </w:rPr>
              <w:t xml:space="preserve">m </w:t>
            </w:r>
            <w:r w:rsidRPr="006472EF">
              <w:rPr>
                <w:rFonts w:ascii="Tahoma" w:hAnsi="Tahoma" w:cs="Tahoma"/>
                <w:sz w:val="18"/>
                <w:szCs w:val="18"/>
                <w:lang w:val="en-US"/>
              </w:rPr>
              <w:t xml:space="preserve">na dan osiguranog slučaja. </w:t>
            </w:r>
          </w:p>
        </w:tc>
      </w:tr>
      <w:tr w:rsidR="00320568" w:rsidRPr="0002597A" w:rsidTr="00EB26C8">
        <w:trPr>
          <w:trHeight w:val="385"/>
        </w:trPr>
        <w:tc>
          <w:tcPr>
            <w:tcW w:w="2983" w:type="dxa"/>
            <w:tcBorders>
              <w:top w:val="double" w:sz="4" w:space="0" w:color="auto"/>
              <w:left w:val="nil"/>
              <w:bottom w:val="double" w:sz="4" w:space="0" w:color="auto"/>
              <w:right w:val="double" w:sz="4" w:space="0" w:color="auto"/>
            </w:tcBorders>
            <w:vAlign w:val="center"/>
          </w:tcPr>
          <w:p w:rsidR="00320568" w:rsidRPr="00EB26C8" w:rsidRDefault="00320568" w:rsidP="00AF3DAA">
            <w:pPr>
              <w:pStyle w:val="NoSpacing"/>
              <w:rPr>
                <w:rFonts w:ascii="Tahoma" w:hAnsi="Tahoma" w:cs="Tahoma"/>
                <w:b/>
                <w:sz w:val="18"/>
                <w:szCs w:val="18"/>
              </w:rPr>
            </w:pPr>
            <w:r w:rsidRPr="00EB26C8">
              <w:rPr>
                <w:rFonts w:ascii="Tahoma" w:hAnsi="Tahoma" w:cs="Tahoma"/>
                <w:sz w:val="18"/>
                <w:szCs w:val="18"/>
              </w:rPr>
              <w:t xml:space="preserve">Ako u istoj kreditnoj instituciji </w:t>
            </w:r>
            <w:r w:rsidR="00EB26C8">
              <w:rPr>
                <w:rFonts w:ascii="Tahoma" w:hAnsi="Tahoma" w:cs="Tahoma"/>
                <w:sz w:val="18"/>
                <w:szCs w:val="18"/>
              </w:rPr>
              <w:t xml:space="preserve">     i</w:t>
            </w:r>
            <w:r w:rsidRPr="00EB26C8">
              <w:rPr>
                <w:rFonts w:ascii="Tahoma" w:hAnsi="Tahoma" w:cs="Tahoma"/>
                <w:sz w:val="18"/>
                <w:szCs w:val="18"/>
              </w:rPr>
              <w:t xml:space="preserve">mate više depozita: </w:t>
            </w:r>
          </w:p>
        </w:tc>
        <w:tc>
          <w:tcPr>
            <w:tcW w:w="7791" w:type="dxa"/>
            <w:tcBorders>
              <w:top w:val="double" w:sz="4" w:space="0" w:color="auto"/>
              <w:left w:val="double" w:sz="4" w:space="0" w:color="auto"/>
              <w:bottom w:val="double" w:sz="4" w:space="0" w:color="auto"/>
              <w:right w:val="nil"/>
            </w:tcBorders>
            <w:vAlign w:val="center"/>
          </w:tcPr>
          <w:p w:rsidR="00EB26C8" w:rsidRPr="00EB26C8" w:rsidRDefault="00EB26C8" w:rsidP="008438E8">
            <w:pPr>
              <w:pStyle w:val="NoSpacing"/>
              <w:rPr>
                <w:rFonts w:ascii="Tahoma" w:hAnsi="Tahoma" w:cs="Tahoma"/>
                <w:sz w:val="18"/>
                <w:szCs w:val="18"/>
              </w:rPr>
            </w:pPr>
            <w:r w:rsidRPr="00EB26C8">
              <w:rPr>
                <w:rFonts w:ascii="Tahoma" w:hAnsi="Tahoma" w:cs="Tahoma"/>
                <w:sz w:val="18"/>
                <w:szCs w:val="18"/>
              </w:rPr>
              <w:t>Svi su vaši depoziti u istoj kreditnoj instituciji »agregirani«, a ukupan iznos ograničen je na 100.000 eura u kunskoj protuvrijednosti prema srednjem tečaju Hrvatske narodne banke važećem na dan osiguranog slučaja.</w:t>
            </w:r>
          </w:p>
        </w:tc>
      </w:tr>
      <w:tr w:rsidR="00320568" w:rsidRPr="0002597A" w:rsidTr="00EB26C8">
        <w:trPr>
          <w:trHeight w:val="385"/>
        </w:trPr>
        <w:tc>
          <w:tcPr>
            <w:tcW w:w="2983" w:type="dxa"/>
            <w:tcBorders>
              <w:top w:val="double" w:sz="4" w:space="0" w:color="auto"/>
              <w:left w:val="nil"/>
              <w:bottom w:val="double" w:sz="4" w:space="0" w:color="auto"/>
              <w:right w:val="double" w:sz="4" w:space="0" w:color="auto"/>
            </w:tcBorders>
            <w:vAlign w:val="center"/>
          </w:tcPr>
          <w:p w:rsidR="00320568" w:rsidRPr="00EB26C8" w:rsidRDefault="00320568" w:rsidP="00AF3DAA">
            <w:pPr>
              <w:pStyle w:val="NoSpacing"/>
              <w:rPr>
                <w:rFonts w:ascii="Tahoma" w:hAnsi="Tahoma" w:cs="Tahoma"/>
                <w:b/>
                <w:sz w:val="18"/>
                <w:szCs w:val="18"/>
              </w:rPr>
            </w:pPr>
            <w:r w:rsidRPr="00EB26C8">
              <w:rPr>
                <w:rFonts w:ascii="Tahoma" w:hAnsi="Tahoma" w:cs="Tahoma"/>
                <w:sz w:val="18"/>
                <w:szCs w:val="18"/>
              </w:rPr>
              <w:t xml:space="preserve">Ako dijelite račun s drugom osobom / drugim osobama: </w:t>
            </w:r>
          </w:p>
        </w:tc>
        <w:tc>
          <w:tcPr>
            <w:tcW w:w="7791" w:type="dxa"/>
            <w:tcBorders>
              <w:top w:val="double" w:sz="4" w:space="0" w:color="auto"/>
              <w:left w:val="double" w:sz="4" w:space="0" w:color="auto"/>
              <w:bottom w:val="double" w:sz="4" w:space="0" w:color="auto"/>
              <w:right w:val="nil"/>
            </w:tcBorders>
            <w:vAlign w:val="center"/>
          </w:tcPr>
          <w:p w:rsidR="00320568" w:rsidRPr="00EB26C8" w:rsidRDefault="00320568" w:rsidP="00AF3DAA">
            <w:pPr>
              <w:pStyle w:val="NoSpacing"/>
              <w:rPr>
                <w:rFonts w:ascii="Tahoma" w:hAnsi="Tahoma" w:cs="Tahoma"/>
                <w:b/>
                <w:sz w:val="18"/>
                <w:szCs w:val="18"/>
              </w:rPr>
            </w:pPr>
            <w:r w:rsidRPr="00EB26C8">
              <w:rPr>
                <w:rFonts w:ascii="Tahoma" w:hAnsi="Tahoma" w:cs="Tahoma"/>
                <w:sz w:val="18"/>
                <w:szCs w:val="18"/>
              </w:rPr>
              <w:t>Ograničenje od 100.000 eura u kunskoj protuvrijednosti prema srednjem tečaju Hrvatske narodne banke važeće</w:t>
            </w:r>
            <w:r w:rsidR="00EB26C8">
              <w:rPr>
                <w:rFonts w:ascii="Tahoma" w:hAnsi="Tahoma" w:cs="Tahoma"/>
                <w:sz w:val="18"/>
                <w:szCs w:val="18"/>
              </w:rPr>
              <w:t>m</w:t>
            </w:r>
            <w:r w:rsidRPr="00EB26C8">
              <w:rPr>
                <w:rFonts w:ascii="Tahoma" w:hAnsi="Tahoma" w:cs="Tahoma"/>
                <w:sz w:val="18"/>
                <w:szCs w:val="18"/>
              </w:rPr>
              <w:t xml:space="preserve"> na dan osiguranog slučaja primjenjuje se na svakog deponenta zasebno. </w:t>
            </w:r>
          </w:p>
        </w:tc>
      </w:tr>
      <w:tr w:rsidR="00320568" w:rsidRPr="0002597A" w:rsidTr="00EB26C8">
        <w:trPr>
          <w:trHeight w:val="943"/>
        </w:trPr>
        <w:tc>
          <w:tcPr>
            <w:tcW w:w="2983" w:type="dxa"/>
            <w:tcBorders>
              <w:top w:val="double" w:sz="4" w:space="0" w:color="auto"/>
              <w:left w:val="nil"/>
              <w:bottom w:val="double" w:sz="4" w:space="0" w:color="auto"/>
              <w:right w:val="double" w:sz="4" w:space="0" w:color="auto"/>
            </w:tcBorders>
            <w:vAlign w:val="center"/>
          </w:tcPr>
          <w:p w:rsidR="00320568" w:rsidRPr="00EB26C8" w:rsidRDefault="00320568" w:rsidP="00AF3DAA">
            <w:pPr>
              <w:pStyle w:val="NoSpacing"/>
              <w:rPr>
                <w:rFonts w:ascii="Tahoma" w:hAnsi="Tahoma" w:cs="Tahoma"/>
                <w:b/>
                <w:sz w:val="18"/>
                <w:szCs w:val="18"/>
              </w:rPr>
            </w:pPr>
            <w:r w:rsidRPr="00EB26C8">
              <w:rPr>
                <w:rFonts w:ascii="Tahoma" w:hAnsi="Tahoma" w:cs="Tahoma"/>
                <w:sz w:val="18"/>
                <w:szCs w:val="18"/>
              </w:rPr>
              <w:t xml:space="preserve">Razdoblje nadoknade u slučaju propasti kreditne institucije: </w:t>
            </w:r>
          </w:p>
        </w:tc>
        <w:tc>
          <w:tcPr>
            <w:tcW w:w="7791" w:type="dxa"/>
            <w:tcBorders>
              <w:top w:val="double" w:sz="4" w:space="0" w:color="auto"/>
              <w:left w:val="double" w:sz="4" w:space="0" w:color="auto"/>
              <w:bottom w:val="double" w:sz="4" w:space="0" w:color="auto"/>
              <w:right w:val="nil"/>
            </w:tcBorders>
            <w:vAlign w:val="center"/>
          </w:tcPr>
          <w:p w:rsidR="00320568" w:rsidRPr="00EB26C8" w:rsidRDefault="007E3CF4" w:rsidP="00AF3DAA">
            <w:pPr>
              <w:pStyle w:val="NoSpacing"/>
              <w:rPr>
                <w:rFonts w:ascii="Tahoma" w:hAnsi="Tahoma" w:cs="Tahoma"/>
                <w:sz w:val="18"/>
                <w:szCs w:val="18"/>
              </w:rPr>
            </w:pPr>
            <w:r w:rsidRPr="00EB26C8">
              <w:rPr>
                <w:rFonts w:ascii="Tahoma" w:hAnsi="Tahoma" w:cs="Tahoma"/>
                <w:sz w:val="18"/>
                <w:szCs w:val="18"/>
              </w:rPr>
              <w:t>10</w:t>
            </w:r>
            <w:r w:rsidR="00320568" w:rsidRPr="00EB26C8">
              <w:rPr>
                <w:rFonts w:ascii="Tahoma" w:hAnsi="Tahoma" w:cs="Tahoma"/>
                <w:sz w:val="18"/>
                <w:szCs w:val="18"/>
              </w:rPr>
              <w:t xml:space="preserve"> radnih dana u razdoblju od 1. siječnja 2021. do 31. prosinca 2023. </w:t>
            </w:r>
          </w:p>
          <w:p w:rsidR="00320568" w:rsidRPr="007B03A6" w:rsidRDefault="007E3CF4" w:rsidP="00AF3DAA">
            <w:pPr>
              <w:pStyle w:val="NoSpacing"/>
              <w:rPr>
                <w:rFonts w:ascii="Tahoma" w:hAnsi="Tahoma" w:cs="Tahoma"/>
                <w:sz w:val="18"/>
                <w:szCs w:val="18"/>
              </w:rPr>
            </w:pPr>
            <w:r w:rsidRPr="007B03A6">
              <w:rPr>
                <w:rFonts w:ascii="Tahoma" w:hAnsi="Tahoma" w:cs="Tahoma"/>
                <w:sz w:val="18"/>
                <w:szCs w:val="18"/>
              </w:rPr>
              <w:t>7</w:t>
            </w:r>
            <w:r w:rsidR="00320568" w:rsidRPr="007B03A6">
              <w:rPr>
                <w:rFonts w:ascii="Tahoma" w:hAnsi="Tahoma" w:cs="Tahoma"/>
                <w:sz w:val="18"/>
                <w:szCs w:val="18"/>
              </w:rPr>
              <w:t xml:space="preserve"> radnih dana od 1. siječnja 2024. nadalje </w:t>
            </w:r>
          </w:p>
        </w:tc>
      </w:tr>
      <w:tr w:rsidR="00320568" w:rsidRPr="0002597A" w:rsidTr="00EB26C8">
        <w:trPr>
          <w:trHeight w:val="663"/>
        </w:trPr>
        <w:tc>
          <w:tcPr>
            <w:tcW w:w="2983" w:type="dxa"/>
            <w:tcBorders>
              <w:top w:val="double" w:sz="4" w:space="0" w:color="auto"/>
              <w:left w:val="nil"/>
              <w:bottom w:val="double" w:sz="4" w:space="0" w:color="auto"/>
              <w:right w:val="double" w:sz="4" w:space="0" w:color="auto"/>
            </w:tcBorders>
            <w:vAlign w:val="center"/>
          </w:tcPr>
          <w:p w:rsidR="00320568" w:rsidRPr="006472EF" w:rsidRDefault="00320568" w:rsidP="00AF3DAA">
            <w:pPr>
              <w:pStyle w:val="NoSpacing"/>
              <w:rPr>
                <w:rFonts w:ascii="Tahoma" w:hAnsi="Tahoma" w:cs="Tahoma"/>
                <w:b/>
                <w:sz w:val="18"/>
                <w:szCs w:val="18"/>
                <w:lang w:val="en-US"/>
              </w:rPr>
            </w:pPr>
            <w:r w:rsidRPr="006472EF">
              <w:rPr>
                <w:rFonts w:ascii="Tahoma" w:hAnsi="Tahoma" w:cs="Tahoma"/>
                <w:sz w:val="18"/>
                <w:szCs w:val="18"/>
                <w:lang w:val="en-US"/>
              </w:rPr>
              <w:t xml:space="preserve">Valuta nadoknade: </w:t>
            </w:r>
          </w:p>
        </w:tc>
        <w:tc>
          <w:tcPr>
            <w:tcW w:w="7791" w:type="dxa"/>
            <w:tcBorders>
              <w:top w:val="double" w:sz="4" w:space="0" w:color="auto"/>
              <w:left w:val="double" w:sz="4" w:space="0" w:color="auto"/>
              <w:bottom w:val="double" w:sz="4" w:space="0" w:color="auto"/>
              <w:right w:val="nil"/>
            </w:tcBorders>
            <w:vAlign w:val="center"/>
          </w:tcPr>
          <w:p w:rsidR="002B3A0D" w:rsidRPr="006472EF" w:rsidRDefault="00320568" w:rsidP="00AF3DAA">
            <w:pPr>
              <w:pStyle w:val="NoSpacing"/>
              <w:rPr>
                <w:rFonts w:ascii="Tahoma" w:hAnsi="Tahoma" w:cs="Tahoma"/>
                <w:b/>
                <w:sz w:val="18"/>
                <w:szCs w:val="18"/>
                <w:lang w:val="en-US"/>
              </w:rPr>
            </w:pPr>
            <w:r w:rsidRPr="006472EF">
              <w:rPr>
                <w:rFonts w:ascii="Tahoma" w:hAnsi="Tahoma" w:cs="Tahoma"/>
                <w:sz w:val="18"/>
                <w:szCs w:val="18"/>
                <w:lang w:val="en-US"/>
              </w:rPr>
              <w:t xml:space="preserve">HRK </w:t>
            </w:r>
          </w:p>
          <w:p w:rsidR="00320568" w:rsidRPr="006472EF" w:rsidRDefault="00320568" w:rsidP="00AF3DAA">
            <w:pPr>
              <w:pStyle w:val="NoSpacing"/>
              <w:rPr>
                <w:rFonts w:ascii="Tahoma" w:hAnsi="Tahoma" w:cs="Tahoma"/>
                <w:b/>
                <w:sz w:val="18"/>
                <w:szCs w:val="18"/>
                <w:lang w:val="en-US"/>
              </w:rPr>
            </w:pPr>
            <w:r w:rsidRPr="006472EF">
              <w:rPr>
                <w:rFonts w:ascii="Tahoma" w:hAnsi="Tahoma" w:cs="Tahoma"/>
                <w:sz w:val="18"/>
                <w:szCs w:val="18"/>
                <w:lang w:val="en-US"/>
              </w:rPr>
              <w:t xml:space="preserve">Svi depoziti u stranim valutama obračunavaju se u kunskoj protuvrijednosti prema srednjem tečaju Hrvatske narodne banke važećem na dan osiguranog slučaja. </w:t>
            </w:r>
          </w:p>
        </w:tc>
      </w:tr>
      <w:tr w:rsidR="00320568" w:rsidRPr="0002597A" w:rsidTr="00EB26C8">
        <w:trPr>
          <w:trHeight w:val="803"/>
        </w:trPr>
        <w:tc>
          <w:tcPr>
            <w:tcW w:w="2983" w:type="dxa"/>
            <w:tcBorders>
              <w:top w:val="double" w:sz="4" w:space="0" w:color="auto"/>
              <w:left w:val="nil"/>
              <w:bottom w:val="double" w:sz="4" w:space="0" w:color="auto"/>
              <w:right w:val="double" w:sz="4" w:space="0" w:color="auto"/>
            </w:tcBorders>
            <w:vAlign w:val="center"/>
          </w:tcPr>
          <w:p w:rsidR="00320568" w:rsidRPr="006472EF" w:rsidRDefault="00320568" w:rsidP="00AF3DAA">
            <w:pPr>
              <w:pStyle w:val="NoSpacing"/>
              <w:rPr>
                <w:rFonts w:ascii="Tahoma" w:hAnsi="Tahoma" w:cs="Tahoma"/>
                <w:b/>
                <w:sz w:val="18"/>
                <w:szCs w:val="18"/>
                <w:lang w:val="en-US"/>
              </w:rPr>
            </w:pPr>
            <w:r w:rsidRPr="006472EF">
              <w:rPr>
                <w:rFonts w:ascii="Tahoma" w:hAnsi="Tahoma" w:cs="Tahoma"/>
                <w:sz w:val="18"/>
                <w:szCs w:val="18"/>
                <w:lang w:val="en-US"/>
              </w:rPr>
              <w:t xml:space="preserve">Kontakt: </w:t>
            </w:r>
          </w:p>
        </w:tc>
        <w:tc>
          <w:tcPr>
            <w:tcW w:w="7791" w:type="dxa"/>
            <w:tcBorders>
              <w:top w:val="double" w:sz="4" w:space="0" w:color="auto"/>
              <w:left w:val="double" w:sz="4" w:space="0" w:color="auto"/>
              <w:bottom w:val="double" w:sz="4" w:space="0" w:color="auto"/>
              <w:right w:val="nil"/>
            </w:tcBorders>
            <w:vAlign w:val="center"/>
          </w:tcPr>
          <w:p w:rsidR="00EB26C8" w:rsidRDefault="00EB26C8" w:rsidP="00AF3DAA">
            <w:pPr>
              <w:pStyle w:val="NoSpacing"/>
              <w:rPr>
                <w:rFonts w:ascii="Tahoma" w:hAnsi="Tahoma" w:cs="Tahoma"/>
                <w:sz w:val="18"/>
                <w:szCs w:val="18"/>
                <w:lang w:val="en-US"/>
              </w:rPr>
            </w:pPr>
            <w:r>
              <w:rPr>
                <w:rFonts w:ascii="Tahoma" w:hAnsi="Tahoma" w:cs="Tahoma"/>
                <w:sz w:val="18"/>
                <w:szCs w:val="18"/>
                <w:lang w:val="en-US"/>
              </w:rPr>
              <w:t xml:space="preserve">Hrvatska </w:t>
            </w:r>
            <w:r w:rsidR="00320568" w:rsidRPr="006472EF">
              <w:rPr>
                <w:rFonts w:ascii="Tahoma" w:hAnsi="Tahoma" w:cs="Tahoma"/>
                <w:sz w:val="18"/>
                <w:szCs w:val="18"/>
                <w:lang w:val="en-US"/>
              </w:rPr>
              <w:t xml:space="preserve">agencija za osiguranje </w:t>
            </w:r>
            <w:r>
              <w:rPr>
                <w:rFonts w:ascii="Tahoma" w:hAnsi="Tahoma" w:cs="Tahoma"/>
                <w:sz w:val="18"/>
                <w:szCs w:val="18"/>
                <w:lang w:val="en-US"/>
              </w:rPr>
              <w:t>depozita</w:t>
            </w:r>
          </w:p>
          <w:p w:rsidR="00320568" w:rsidRPr="00EB26C8" w:rsidRDefault="00320568" w:rsidP="00AF3DAA">
            <w:pPr>
              <w:pStyle w:val="NoSpacing"/>
              <w:rPr>
                <w:rFonts w:ascii="Tahoma" w:hAnsi="Tahoma" w:cs="Tahoma"/>
                <w:b/>
                <w:sz w:val="18"/>
                <w:szCs w:val="18"/>
                <w:lang w:val="en-US"/>
              </w:rPr>
            </w:pPr>
            <w:r w:rsidRPr="006472EF">
              <w:rPr>
                <w:rFonts w:ascii="Tahoma" w:hAnsi="Tahoma" w:cs="Tahoma"/>
                <w:sz w:val="18"/>
                <w:szCs w:val="18"/>
                <w:lang w:val="en-US"/>
              </w:rPr>
              <w:t xml:space="preserve">Jurišićeva 1/II </w:t>
            </w:r>
            <w:r w:rsidRPr="00EB26C8">
              <w:rPr>
                <w:rFonts w:ascii="Tahoma" w:hAnsi="Tahoma" w:cs="Tahoma"/>
                <w:sz w:val="18"/>
                <w:szCs w:val="18"/>
                <w:lang w:val="en-US"/>
              </w:rPr>
              <w:t xml:space="preserve">10000 Zagreb, Hrvatska </w:t>
            </w:r>
          </w:p>
          <w:p w:rsidR="00320568" w:rsidRPr="00EB26C8" w:rsidRDefault="00320568" w:rsidP="00AF3DAA">
            <w:pPr>
              <w:pStyle w:val="NoSpacing"/>
              <w:rPr>
                <w:rFonts w:ascii="Tahoma" w:hAnsi="Tahoma" w:cs="Tahoma"/>
                <w:b/>
                <w:sz w:val="18"/>
                <w:szCs w:val="18"/>
                <w:lang w:val="it-IT"/>
              </w:rPr>
            </w:pPr>
            <w:r w:rsidRPr="00EB26C8">
              <w:rPr>
                <w:rFonts w:ascii="Tahoma" w:hAnsi="Tahoma" w:cs="Tahoma"/>
                <w:sz w:val="18"/>
                <w:szCs w:val="18"/>
                <w:lang w:val="it-IT"/>
              </w:rPr>
              <w:t xml:space="preserve">Telefon: +385 (1) 48 13 222 </w:t>
            </w:r>
          </w:p>
          <w:p w:rsidR="00320568" w:rsidRPr="00EB26C8" w:rsidRDefault="00320568" w:rsidP="00AF3DAA">
            <w:pPr>
              <w:pStyle w:val="NoSpacing"/>
              <w:rPr>
                <w:rFonts w:ascii="Tahoma" w:hAnsi="Tahoma" w:cs="Tahoma"/>
                <w:b/>
                <w:sz w:val="18"/>
                <w:szCs w:val="18"/>
                <w:lang w:val="it-IT"/>
              </w:rPr>
            </w:pPr>
            <w:r w:rsidRPr="00EB26C8">
              <w:rPr>
                <w:rFonts w:ascii="Tahoma" w:hAnsi="Tahoma" w:cs="Tahoma"/>
                <w:sz w:val="18"/>
                <w:szCs w:val="18"/>
                <w:lang w:val="it-IT"/>
              </w:rPr>
              <w:t>Faks: +385 (1) 48 19 107</w:t>
            </w:r>
          </w:p>
          <w:p w:rsidR="00320568" w:rsidRPr="00EB26C8" w:rsidRDefault="00320568" w:rsidP="00AF3DAA">
            <w:pPr>
              <w:pStyle w:val="NoSpacing"/>
              <w:rPr>
                <w:rFonts w:ascii="Tahoma" w:hAnsi="Tahoma" w:cs="Tahoma"/>
                <w:b/>
                <w:sz w:val="18"/>
                <w:szCs w:val="18"/>
                <w:lang w:val="it-IT"/>
              </w:rPr>
            </w:pPr>
            <w:r w:rsidRPr="00EB26C8">
              <w:rPr>
                <w:rFonts w:ascii="Tahoma" w:hAnsi="Tahoma" w:cs="Tahoma"/>
                <w:sz w:val="18"/>
                <w:szCs w:val="18"/>
                <w:lang w:val="it-IT"/>
              </w:rPr>
              <w:t>E-pošta: dab@dab.hr</w:t>
            </w:r>
          </w:p>
        </w:tc>
      </w:tr>
      <w:tr w:rsidR="00320568" w:rsidRPr="0002597A" w:rsidTr="00EB26C8">
        <w:trPr>
          <w:trHeight w:val="436"/>
        </w:trPr>
        <w:tc>
          <w:tcPr>
            <w:tcW w:w="2983" w:type="dxa"/>
            <w:tcBorders>
              <w:top w:val="double" w:sz="4" w:space="0" w:color="auto"/>
              <w:left w:val="nil"/>
              <w:bottom w:val="double" w:sz="4" w:space="0" w:color="auto"/>
              <w:right w:val="double" w:sz="4" w:space="0" w:color="auto"/>
            </w:tcBorders>
            <w:vAlign w:val="center"/>
          </w:tcPr>
          <w:p w:rsidR="00320568" w:rsidRPr="006472EF" w:rsidRDefault="00320568" w:rsidP="00AF3DAA">
            <w:pPr>
              <w:pStyle w:val="NoSpacing"/>
              <w:rPr>
                <w:rFonts w:ascii="Tahoma" w:hAnsi="Tahoma" w:cs="Tahoma"/>
                <w:sz w:val="18"/>
                <w:szCs w:val="18"/>
              </w:rPr>
            </w:pPr>
            <w:r w:rsidRPr="006472EF">
              <w:rPr>
                <w:rFonts w:ascii="Tahoma" w:hAnsi="Tahoma" w:cs="Tahoma"/>
                <w:sz w:val="18"/>
                <w:szCs w:val="18"/>
              </w:rPr>
              <w:t>Više informacija:</w:t>
            </w:r>
          </w:p>
        </w:tc>
        <w:tc>
          <w:tcPr>
            <w:tcW w:w="7791" w:type="dxa"/>
            <w:tcBorders>
              <w:top w:val="double" w:sz="4" w:space="0" w:color="auto"/>
              <w:left w:val="double" w:sz="4" w:space="0" w:color="auto"/>
              <w:bottom w:val="double" w:sz="4" w:space="0" w:color="auto"/>
              <w:right w:val="nil"/>
            </w:tcBorders>
            <w:vAlign w:val="center"/>
          </w:tcPr>
          <w:p w:rsidR="00320568" w:rsidRPr="006472EF" w:rsidRDefault="00320568" w:rsidP="00AF3DAA">
            <w:pPr>
              <w:pStyle w:val="NoSpacing"/>
              <w:rPr>
                <w:rFonts w:ascii="Tahoma" w:hAnsi="Tahoma" w:cs="Tahoma"/>
                <w:sz w:val="18"/>
                <w:szCs w:val="18"/>
              </w:rPr>
            </w:pPr>
            <w:r w:rsidRPr="006472EF">
              <w:rPr>
                <w:rFonts w:ascii="Tahoma" w:hAnsi="Tahoma" w:cs="Tahoma"/>
                <w:sz w:val="18"/>
                <w:szCs w:val="18"/>
              </w:rPr>
              <w:t>http://www.dab.hr/</w:t>
            </w:r>
          </w:p>
        </w:tc>
      </w:tr>
      <w:tr w:rsidR="006D083E" w:rsidRPr="0002597A" w:rsidTr="00B83F62">
        <w:trPr>
          <w:trHeight w:val="803"/>
        </w:trPr>
        <w:tc>
          <w:tcPr>
            <w:tcW w:w="10774" w:type="dxa"/>
            <w:gridSpan w:val="2"/>
            <w:tcBorders>
              <w:top w:val="double" w:sz="4" w:space="0" w:color="auto"/>
              <w:left w:val="nil"/>
              <w:bottom w:val="nil"/>
              <w:right w:val="nil"/>
            </w:tcBorders>
          </w:tcPr>
          <w:p w:rsidR="000B1872" w:rsidRDefault="000B1872" w:rsidP="00EA56F0">
            <w:pPr>
              <w:pStyle w:val="NoSpacing"/>
              <w:jc w:val="both"/>
              <w:rPr>
                <w:rFonts w:ascii="Tahoma" w:hAnsi="Tahoma" w:cs="Tahoma"/>
                <w:b/>
                <w:sz w:val="18"/>
                <w:szCs w:val="18"/>
              </w:rPr>
            </w:pPr>
          </w:p>
          <w:p w:rsidR="006D083E" w:rsidRPr="006472EF" w:rsidRDefault="00FE7DBF" w:rsidP="00EA56F0">
            <w:pPr>
              <w:pStyle w:val="NoSpacing"/>
              <w:jc w:val="both"/>
              <w:rPr>
                <w:rFonts w:ascii="Tahoma" w:hAnsi="Tahoma" w:cs="Tahoma"/>
                <w:b/>
                <w:sz w:val="18"/>
                <w:szCs w:val="18"/>
              </w:rPr>
            </w:pPr>
            <w:r w:rsidRPr="006472EF">
              <w:rPr>
                <w:rFonts w:ascii="Tahoma" w:hAnsi="Tahoma" w:cs="Tahoma"/>
                <w:b/>
                <w:sz w:val="18"/>
                <w:szCs w:val="18"/>
              </w:rPr>
              <w:t>Dodatne informacije:</w:t>
            </w:r>
          </w:p>
          <w:p w:rsidR="007B03A6" w:rsidRPr="007B03A6" w:rsidRDefault="007B03A6" w:rsidP="007B03A6">
            <w:pPr>
              <w:pStyle w:val="NoSpacing"/>
              <w:jc w:val="both"/>
              <w:rPr>
                <w:rFonts w:ascii="Tahoma" w:hAnsi="Tahoma" w:cs="Tahoma"/>
                <w:sz w:val="18"/>
                <w:szCs w:val="18"/>
              </w:rPr>
            </w:pPr>
            <w:r w:rsidRPr="007B03A6">
              <w:rPr>
                <w:rFonts w:ascii="Tahoma" w:hAnsi="Tahoma" w:cs="Tahoma"/>
                <w:sz w:val="18"/>
                <w:szCs w:val="18"/>
              </w:rPr>
              <w:t>Ako je depozit nedostupan zato što kreditna institucija ne može ispuniti svoje financijske obveze, deponenti se isplaćuju iz sustava osiguranja depozita. Tom isplatom pokriveno je najviše 100.000 eura po kreditnoj instituciji. To znači da se svi depoziti u istoj kreditnoj instituciji zbrajaju kako bi se odredila razina pokrića. Primjerice, ako deponent na štednom računu ima 90.000 eura, a na tekućem 20.000 eura, isplatit će mu se samo 100.000 eura.</w:t>
            </w:r>
          </w:p>
          <w:p w:rsidR="007B03A6" w:rsidRPr="007B03A6" w:rsidRDefault="007B03A6" w:rsidP="007B03A6">
            <w:pPr>
              <w:pStyle w:val="NoSpacing"/>
              <w:jc w:val="both"/>
              <w:rPr>
                <w:rFonts w:ascii="Tahoma" w:hAnsi="Tahoma" w:cs="Tahoma"/>
                <w:sz w:val="18"/>
                <w:szCs w:val="18"/>
              </w:rPr>
            </w:pPr>
            <w:r w:rsidRPr="007B03A6">
              <w:rPr>
                <w:rFonts w:ascii="Tahoma" w:hAnsi="Tahoma" w:cs="Tahoma"/>
                <w:sz w:val="18"/>
                <w:szCs w:val="18"/>
              </w:rPr>
              <w:t>U slučaju zajedničkih računa ograničenje od 100.000 eura primjenjuje se na svakog deponenta.</w:t>
            </w:r>
          </w:p>
          <w:p w:rsidR="007B03A6" w:rsidRPr="007B03A6" w:rsidRDefault="007B03A6" w:rsidP="007B03A6">
            <w:pPr>
              <w:pStyle w:val="NoSpacing"/>
              <w:jc w:val="both"/>
              <w:rPr>
                <w:rFonts w:ascii="Tahoma" w:hAnsi="Tahoma" w:cs="Tahoma"/>
                <w:sz w:val="18"/>
                <w:szCs w:val="18"/>
              </w:rPr>
            </w:pPr>
            <w:r w:rsidRPr="007B03A6">
              <w:rPr>
                <w:rFonts w:ascii="Tahoma" w:hAnsi="Tahoma" w:cs="Tahoma"/>
                <w:sz w:val="18"/>
                <w:szCs w:val="18"/>
              </w:rPr>
              <w:t>Međutim, depoziti na računu na koji pravo imaju dvije ili više osoba, kao članovi poslovnog partnerstva, udruženja ili grupacije slične prirode bez pravne osobnosti, agregiraju se i tretiraju kao sredstva jednog deponenta za potrebe izračunavanja ograničenja od 100.000 eura u kunskoj protuvrijednosti prema srednjem tečaju Hrvatske narodne banke važećem na dan osiguranog slučaja.</w:t>
            </w:r>
          </w:p>
          <w:p w:rsidR="007B03A6" w:rsidRPr="007B03A6" w:rsidRDefault="007B03A6" w:rsidP="007B03A6">
            <w:pPr>
              <w:pStyle w:val="NoSpacing"/>
              <w:jc w:val="both"/>
              <w:rPr>
                <w:rFonts w:ascii="Tahoma" w:hAnsi="Tahoma" w:cs="Tahoma"/>
                <w:sz w:val="18"/>
                <w:szCs w:val="18"/>
              </w:rPr>
            </w:pPr>
            <w:r w:rsidRPr="007B03A6">
              <w:rPr>
                <w:rFonts w:ascii="Tahoma" w:hAnsi="Tahoma" w:cs="Tahoma"/>
                <w:sz w:val="18"/>
                <w:szCs w:val="18"/>
              </w:rPr>
              <w:t>U pojedinim slučajevima depoziti koji predstavljaju privremeni visoki saldo zaštićeni su u dodatnom iznosu do 30.000 eura u kunskoj protuvrijednosti, prema srednjem tečaju Hrvatske narodne banke, odnosno do uključivo ukupne razine do 130.000 eura u kunskoj protuvrijednosti, prema srednjem tečaju Hrvatske narodne banke, tri mjeseca nakon knjiženja iznosa ili tri mjeseca od trenutka kada takvi depoziti postanu pravno prenosivi, a odnose se na depozite:</w:t>
            </w:r>
          </w:p>
          <w:p w:rsidR="007B03A6" w:rsidRPr="007B03A6" w:rsidRDefault="007B03A6" w:rsidP="007B03A6">
            <w:pPr>
              <w:pStyle w:val="NoSpacing"/>
              <w:jc w:val="both"/>
              <w:rPr>
                <w:rFonts w:ascii="Tahoma" w:hAnsi="Tahoma" w:cs="Tahoma"/>
                <w:sz w:val="18"/>
                <w:szCs w:val="18"/>
              </w:rPr>
            </w:pPr>
            <w:r w:rsidRPr="007B03A6">
              <w:rPr>
                <w:rFonts w:ascii="Tahoma" w:hAnsi="Tahoma" w:cs="Tahoma"/>
                <w:sz w:val="18"/>
                <w:szCs w:val="18"/>
              </w:rPr>
              <w:t>1. od prodaje nekretnine u kojoj je deponent imao prebivalište ili boravište</w:t>
            </w:r>
          </w:p>
          <w:p w:rsidR="007B03A6" w:rsidRPr="007B03A6" w:rsidRDefault="007B03A6" w:rsidP="007B03A6">
            <w:pPr>
              <w:pStyle w:val="NoSpacing"/>
              <w:jc w:val="both"/>
              <w:rPr>
                <w:rFonts w:ascii="Tahoma" w:hAnsi="Tahoma" w:cs="Tahoma"/>
                <w:sz w:val="18"/>
                <w:szCs w:val="18"/>
              </w:rPr>
            </w:pPr>
            <w:r w:rsidRPr="007B03A6">
              <w:rPr>
                <w:rFonts w:ascii="Tahoma" w:hAnsi="Tahoma" w:cs="Tahoma"/>
                <w:sz w:val="18"/>
                <w:szCs w:val="18"/>
              </w:rPr>
              <w:t>2. od transakcija vezanih uz događaje sklapanja braka, razvoda, umirovljenja, otpuštanja, invaliditeta, bolesti ili smrti odnosno</w:t>
            </w:r>
          </w:p>
          <w:p w:rsidR="00AF3DAA" w:rsidRDefault="007B03A6" w:rsidP="007B03A6">
            <w:pPr>
              <w:pStyle w:val="NoSpacing"/>
              <w:jc w:val="both"/>
              <w:rPr>
                <w:rFonts w:ascii="Tahoma" w:hAnsi="Tahoma" w:cs="Tahoma"/>
                <w:sz w:val="18"/>
                <w:szCs w:val="18"/>
              </w:rPr>
            </w:pPr>
            <w:r w:rsidRPr="007B03A6">
              <w:rPr>
                <w:rFonts w:ascii="Tahoma" w:hAnsi="Tahoma" w:cs="Tahoma"/>
                <w:sz w:val="18"/>
                <w:szCs w:val="18"/>
              </w:rPr>
              <w:t xml:space="preserve">3. utemeljene na plaćanju naknade iz osiguranja ili odštete za žrtve kaznenih djela ili žrtve pravosudnih pogrešaka. Dodatne informacije mogu se dobiti na </w:t>
            </w:r>
            <w:hyperlink r:id="rId9" w:history="1">
              <w:r w:rsidRPr="000B7A08">
                <w:rPr>
                  <w:rStyle w:val="Hyperlink"/>
                  <w:rFonts w:ascii="Tahoma" w:hAnsi="Tahoma" w:cs="Tahoma"/>
                  <w:sz w:val="18"/>
                  <w:szCs w:val="18"/>
                </w:rPr>
                <w:t>http://www.dab.hr/</w:t>
              </w:r>
            </w:hyperlink>
            <w:r w:rsidRPr="007B03A6">
              <w:rPr>
                <w:rFonts w:ascii="Tahoma" w:hAnsi="Tahoma" w:cs="Tahoma"/>
                <w:sz w:val="18"/>
                <w:szCs w:val="18"/>
              </w:rPr>
              <w:t>.</w:t>
            </w:r>
          </w:p>
          <w:p w:rsidR="007B03A6" w:rsidRPr="004A6994" w:rsidRDefault="007B03A6" w:rsidP="007B03A6">
            <w:pPr>
              <w:pStyle w:val="NoSpacing"/>
              <w:jc w:val="both"/>
              <w:rPr>
                <w:rFonts w:ascii="Tahoma" w:hAnsi="Tahoma" w:cs="Tahoma"/>
                <w:sz w:val="10"/>
                <w:szCs w:val="18"/>
              </w:rPr>
            </w:pPr>
          </w:p>
          <w:p w:rsidR="00EA56F0" w:rsidRPr="006472EF" w:rsidRDefault="00EA56F0" w:rsidP="00EA56F0">
            <w:pPr>
              <w:pStyle w:val="NoSpacing"/>
              <w:jc w:val="both"/>
              <w:rPr>
                <w:rFonts w:ascii="Tahoma" w:hAnsi="Tahoma" w:cs="Tahoma"/>
                <w:b/>
                <w:sz w:val="18"/>
                <w:szCs w:val="18"/>
              </w:rPr>
            </w:pPr>
            <w:r w:rsidRPr="006472EF">
              <w:rPr>
                <w:rFonts w:ascii="Tahoma" w:hAnsi="Tahoma" w:cs="Tahoma"/>
                <w:b/>
                <w:sz w:val="18"/>
                <w:szCs w:val="18"/>
              </w:rPr>
              <w:t>Nadoknada</w:t>
            </w:r>
          </w:p>
          <w:p w:rsidR="007B03A6" w:rsidRPr="007B03A6" w:rsidRDefault="007B03A6" w:rsidP="007B03A6">
            <w:pPr>
              <w:pStyle w:val="NoSpacing"/>
              <w:jc w:val="both"/>
              <w:rPr>
                <w:rFonts w:ascii="Tahoma" w:hAnsi="Tahoma" w:cs="Tahoma"/>
                <w:sz w:val="18"/>
                <w:szCs w:val="18"/>
              </w:rPr>
            </w:pPr>
            <w:r w:rsidRPr="007B03A6">
              <w:rPr>
                <w:rFonts w:ascii="Tahoma" w:hAnsi="Tahoma" w:cs="Tahoma"/>
                <w:sz w:val="18"/>
                <w:szCs w:val="18"/>
              </w:rPr>
              <w:t>Sustavom osiguranja depozita upravlja Hrvatska agencija za osiguranje depozita, Jurišićeva 1/II, 10000 Zagreb, Hrvatska, broj telefona: +385 (1) 48 13 222, e-pošta: dab@dab.hr, http://www.dab.hr/. Hrvatska agencija za osiguranje depozita isplatit će vaše depozite (do iznosa od 100.000 eura u kunskoj protuvrijednosti prema srednjem tečaju Hrvatske narodne banke važećem na dan osiguranog slučaja) najkasnije u roku od deset radnih dana, a od 1. siječnja 2024. u roku od sedam radnih dana.</w:t>
            </w:r>
          </w:p>
          <w:p w:rsidR="007B03A6" w:rsidRPr="007B03A6" w:rsidRDefault="007B03A6" w:rsidP="007B03A6">
            <w:pPr>
              <w:pStyle w:val="NoSpacing"/>
              <w:jc w:val="both"/>
              <w:rPr>
                <w:rFonts w:ascii="Tahoma" w:hAnsi="Tahoma" w:cs="Tahoma"/>
                <w:sz w:val="18"/>
                <w:szCs w:val="18"/>
              </w:rPr>
            </w:pPr>
            <w:r w:rsidRPr="007B03A6">
              <w:rPr>
                <w:rFonts w:ascii="Tahoma" w:hAnsi="Tahoma" w:cs="Tahoma"/>
                <w:sz w:val="18"/>
                <w:szCs w:val="18"/>
              </w:rPr>
              <w:t>Hitna/privremena isplata: ako iznos odnosno iznosi koje je potrebno isplatiti nisu raspoloživi u roku od deset radnih dana odnosno sedam radnih dana od 1. siječnja 2024., Agencija je dužna osigurati da se u roku od pet radnih dana od dana primitka zahtjeva deponenta stavi na raspolaganje odgovarajući iznos sredstava za pokriće osnovnih životnih troškova od iznosa njegovih osiguranih depozita.</w:t>
            </w:r>
          </w:p>
          <w:p w:rsidR="00AF3DAA" w:rsidRDefault="007B03A6" w:rsidP="007B03A6">
            <w:pPr>
              <w:pStyle w:val="NoSpacing"/>
              <w:jc w:val="both"/>
              <w:rPr>
                <w:rFonts w:ascii="Tahoma" w:hAnsi="Tahoma" w:cs="Tahoma"/>
                <w:sz w:val="18"/>
                <w:szCs w:val="18"/>
              </w:rPr>
            </w:pPr>
            <w:r w:rsidRPr="007B03A6">
              <w:rPr>
                <w:rFonts w:ascii="Tahoma" w:hAnsi="Tahoma" w:cs="Tahoma"/>
                <w:sz w:val="18"/>
                <w:szCs w:val="18"/>
              </w:rPr>
              <w:t xml:space="preserve">Ako ne primite isplatu u tim rokovima, trebali biste stupiti u kontakt sa sustavom osiguranja depozita jer vrijeme za potraživanje nadoknade može isteći nakon isteka određenog roka. Dodatne informacije mogu se dobiti na </w:t>
            </w:r>
            <w:hyperlink r:id="rId10" w:history="1">
              <w:r w:rsidRPr="000B7A08">
                <w:rPr>
                  <w:rStyle w:val="Hyperlink"/>
                  <w:rFonts w:ascii="Tahoma" w:hAnsi="Tahoma" w:cs="Tahoma"/>
                  <w:sz w:val="18"/>
                  <w:szCs w:val="18"/>
                </w:rPr>
                <w:t>http://www.dab.hr/</w:t>
              </w:r>
            </w:hyperlink>
            <w:r w:rsidRPr="007B03A6">
              <w:rPr>
                <w:rFonts w:ascii="Tahoma" w:hAnsi="Tahoma" w:cs="Tahoma"/>
                <w:sz w:val="18"/>
                <w:szCs w:val="18"/>
              </w:rPr>
              <w:t>.</w:t>
            </w:r>
          </w:p>
          <w:p w:rsidR="007B03A6" w:rsidRPr="004A6994" w:rsidRDefault="007B03A6" w:rsidP="007B03A6">
            <w:pPr>
              <w:pStyle w:val="NoSpacing"/>
              <w:jc w:val="both"/>
              <w:rPr>
                <w:rFonts w:ascii="Tahoma" w:hAnsi="Tahoma" w:cs="Tahoma"/>
                <w:sz w:val="10"/>
                <w:szCs w:val="18"/>
              </w:rPr>
            </w:pPr>
          </w:p>
          <w:p w:rsidR="00EA56F0" w:rsidRPr="006472EF" w:rsidRDefault="00EA56F0" w:rsidP="00EA56F0">
            <w:pPr>
              <w:pStyle w:val="NoSpacing"/>
              <w:jc w:val="both"/>
              <w:rPr>
                <w:rFonts w:ascii="Tahoma" w:hAnsi="Tahoma" w:cs="Tahoma"/>
                <w:b/>
                <w:sz w:val="18"/>
                <w:szCs w:val="18"/>
              </w:rPr>
            </w:pPr>
            <w:r w:rsidRPr="006472EF">
              <w:rPr>
                <w:rFonts w:ascii="Tahoma" w:hAnsi="Tahoma" w:cs="Tahoma"/>
                <w:b/>
                <w:sz w:val="18"/>
                <w:szCs w:val="18"/>
              </w:rPr>
              <w:t>Druge važne informacije</w:t>
            </w:r>
          </w:p>
          <w:p w:rsidR="00EA56F0" w:rsidRPr="006472EF" w:rsidRDefault="007B03A6" w:rsidP="00EA56F0">
            <w:pPr>
              <w:pStyle w:val="NoSpacing"/>
              <w:jc w:val="both"/>
              <w:rPr>
                <w:rFonts w:ascii="Tahoma" w:hAnsi="Tahoma" w:cs="Tahoma"/>
                <w:sz w:val="18"/>
                <w:szCs w:val="18"/>
              </w:rPr>
            </w:pPr>
            <w:r w:rsidRPr="007B03A6">
              <w:rPr>
                <w:rFonts w:ascii="Tahoma" w:hAnsi="Tahoma" w:cs="Tahoma"/>
                <w:sz w:val="18"/>
                <w:szCs w:val="18"/>
              </w:rPr>
              <w:t>Svi deponenti koji spadaju u stanovništvo ili poduzeća u načelu su osigurani putem sustava osiguranja depozita. Izuzeća za određene depozite navedena su na internetskim stranicama odgovornog sustava osiguranja depozita. Vaša će vas kreditna institucija na zah¬tjev također izvijestiti o tome jesu li određeni proizvodi osigurani ili nisu. Ako su depoziti osigurani, kreditna institucija to također potvrđuje na izvatku s računa.</w:t>
            </w:r>
            <w:bookmarkStart w:id="0" w:name="_GoBack"/>
            <w:bookmarkEnd w:id="0"/>
          </w:p>
        </w:tc>
      </w:tr>
    </w:tbl>
    <w:p w:rsidR="00320568" w:rsidRPr="0002597A" w:rsidRDefault="00320568" w:rsidP="00320568">
      <w:pPr>
        <w:pStyle w:val="tb-na16"/>
        <w:spacing w:before="0" w:beforeAutospacing="0" w:after="0" w:afterAutospacing="0"/>
        <w:jc w:val="both"/>
        <w:rPr>
          <w:rFonts w:ascii="Tahoma" w:hAnsi="Tahoma" w:cs="Tahoma"/>
          <w:color w:val="000000"/>
          <w:sz w:val="20"/>
          <w:szCs w:val="20"/>
        </w:rPr>
      </w:pPr>
    </w:p>
    <w:sectPr w:rsidR="00320568" w:rsidRPr="0002597A" w:rsidSect="006472EF">
      <w:footerReference w:type="default" r:id="rId11"/>
      <w:pgSz w:w="11906" w:h="16838" w:code="9"/>
      <w:pgMar w:top="851" w:right="1418" w:bottom="851" w:left="156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66AEF" w:rsidRDefault="00266AEF" w:rsidP="003F30C2">
      <w:pPr>
        <w:spacing w:after="0" w:line="240" w:lineRule="auto"/>
      </w:pPr>
      <w:r>
        <w:separator/>
      </w:r>
    </w:p>
  </w:endnote>
  <w:endnote w:type="continuationSeparator" w:id="0">
    <w:p w:rsidR="00266AEF" w:rsidRDefault="00266AEF" w:rsidP="003F30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Life L2">
    <w:altName w:val="Times New Roman"/>
    <w:panose1 w:val="00000000000000000000"/>
    <w:charset w:val="00"/>
    <w:family w:val="roman"/>
    <w:notTrueType/>
    <w:pitch w:val="default"/>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6684715"/>
      <w:docPartObj>
        <w:docPartGallery w:val="Page Numbers (Bottom of Page)"/>
        <w:docPartUnique/>
      </w:docPartObj>
    </w:sdtPr>
    <w:sdtEndPr/>
    <w:sdtContent>
      <w:p w:rsidR="00261F07" w:rsidRDefault="00261F07">
        <w:pPr>
          <w:pStyle w:val="Footer"/>
          <w:jc w:val="center"/>
        </w:pPr>
        <w:r>
          <w:fldChar w:fldCharType="begin"/>
        </w:r>
        <w:r>
          <w:instrText>PAGE   \* MERGEFORMAT</w:instrText>
        </w:r>
        <w:r>
          <w:fldChar w:fldCharType="separate"/>
        </w:r>
        <w:r w:rsidR="006472EF">
          <w:rPr>
            <w:noProof/>
          </w:rPr>
          <w:t>2</w:t>
        </w:r>
        <w:r>
          <w:fldChar w:fldCharType="end"/>
        </w:r>
      </w:p>
    </w:sdtContent>
  </w:sdt>
  <w:p w:rsidR="00261F07" w:rsidRDefault="00261F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66AEF" w:rsidRDefault="00266AEF" w:rsidP="003F30C2">
      <w:pPr>
        <w:spacing w:after="0" w:line="240" w:lineRule="auto"/>
      </w:pPr>
      <w:r>
        <w:separator/>
      </w:r>
    </w:p>
  </w:footnote>
  <w:footnote w:type="continuationSeparator" w:id="0">
    <w:p w:rsidR="00266AEF" w:rsidRDefault="00266AEF" w:rsidP="003F30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B5E68"/>
    <w:multiLevelType w:val="hybridMultilevel"/>
    <w:tmpl w:val="512A0AB8"/>
    <w:lvl w:ilvl="0" w:tplc="B66E1B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633635"/>
    <w:multiLevelType w:val="hybridMultilevel"/>
    <w:tmpl w:val="BC103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E23C46"/>
    <w:multiLevelType w:val="hybridMultilevel"/>
    <w:tmpl w:val="A25ACC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2844A1"/>
    <w:multiLevelType w:val="hybridMultilevel"/>
    <w:tmpl w:val="A0F0C918"/>
    <w:lvl w:ilvl="0" w:tplc="B66E1B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E92CA9"/>
    <w:multiLevelType w:val="hybridMultilevel"/>
    <w:tmpl w:val="37F0609E"/>
    <w:lvl w:ilvl="0" w:tplc="620CED16">
      <w:numFmt w:val="bullet"/>
      <w:lvlText w:val="-"/>
      <w:lvlJc w:val="left"/>
      <w:pPr>
        <w:ind w:left="1440" w:hanging="360"/>
      </w:pPr>
      <w:rPr>
        <w:rFonts w:ascii="Arial" w:eastAsiaTheme="minorHAnsi"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8BC45B2"/>
    <w:multiLevelType w:val="hybridMultilevel"/>
    <w:tmpl w:val="94E21162"/>
    <w:lvl w:ilvl="0" w:tplc="041A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07463B"/>
    <w:multiLevelType w:val="hybridMultilevel"/>
    <w:tmpl w:val="8BBAD9E6"/>
    <w:lvl w:ilvl="0" w:tplc="041A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3C7AB7"/>
    <w:multiLevelType w:val="hybridMultilevel"/>
    <w:tmpl w:val="41C0C060"/>
    <w:lvl w:ilvl="0" w:tplc="B92666B2">
      <w:numFmt w:val="bullet"/>
      <w:lvlText w:val="-"/>
      <w:lvlJc w:val="left"/>
      <w:pPr>
        <w:ind w:left="1080" w:hanging="360"/>
      </w:pPr>
      <w:rPr>
        <w:rFonts w:ascii="Tahoma" w:eastAsiaTheme="minorHAnsi" w:hAnsi="Tahoma"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0D3447FB"/>
    <w:multiLevelType w:val="hybridMultilevel"/>
    <w:tmpl w:val="F26EFB40"/>
    <w:lvl w:ilvl="0" w:tplc="3E0812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FFB456E"/>
    <w:multiLevelType w:val="hybridMultilevel"/>
    <w:tmpl w:val="E5A807C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41B163A"/>
    <w:multiLevelType w:val="hybridMultilevel"/>
    <w:tmpl w:val="8AF2D2F6"/>
    <w:lvl w:ilvl="0" w:tplc="041A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5B02949"/>
    <w:multiLevelType w:val="hybridMultilevel"/>
    <w:tmpl w:val="1DE8B016"/>
    <w:lvl w:ilvl="0" w:tplc="56F092B2">
      <w:start w:val="1"/>
      <w:numFmt w:val="decimal"/>
      <w:lvlText w:val="%1."/>
      <w:lvlJc w:val="left"/>
      <w:pPr>
        <w:ind w:left="1211"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69161DA"/>
    <w:multiLevelType w:val="hybridMultilevel"/>
    <w:tmpl w:val="5A168CF2"/>
    <w:lvl w:ilvl="0" w:tplc="041A000B">
      <w:start w:val="1"/>
      <w:numFmt w:val="bullet"/>
      <w:lvlText w:val=""/>
      <w:lvlJc w:val="left"/>
      <w:pPr>
        <w:ind w:left="1996" w:hanging="360"/>
      </w:pPr>
      <w:rPr>
        <w:rFonts w:ascii="Wingdings" w:hAnsi="Wingdings" w:hint="default"/>
      </w:rPr>
    </w:lvl>
    <w:lvl w:ilvl="1" w:tplc="04090003" w:tentative="1">
      <w:start w:val="1"/>
      <w:numFmt w:val="bullet"/>
      <w:lvlText w:val="o"/>
      <w:lvlJc w:val="left"/>
      <w:pPr>
        <w:ind w:left="2716" w:hanging="360"/>
      </w:pPr>
      <w:rPr>
        <w:rFonts w:ascii="Courier New" w:hAnsi="Courier New" w:cs="Courier New" w:hint="default"/>
      </w:rPr>
    </w:lvl>
    <w:lvl w:ilvl="2" w:tplc="04090005" w:tentative="1">
      <w:start w:val="1"/>
      <w:numFmt w:val="bullet"/>
      <w:lvlText w:val=""/>
      <w:lvlJc w:val="left"/>
      <w:pPr>
        <w:ind w:left="3436" w:hanging="360"/>
      </w:pPr>
      <w:rPr>
        <w:rFonts w:ascii="Wingdings" w:hAnsi="Wingdings" w:hint="default"/>
      </w:rPr>
    </w:lvl>
    <w:lvl w:ilvl="3" w:tplc="04090001" w:tentative="1">
      <w:start w:val="1"/>
      <w:numFmt w:val="bullet"/>
      <w:lvlText w:val=""/>
      <w:lvlJc w:val="left"/>
      <w:pPr>
        <w:ind w:left="4156" w:hanging="360"/>
      </w:pPr>
      <w:rPr>
        <w:rFonts w:ascii="Symbol" w:hAnsi="Symbol" w:hint="default"/>
      </w:rPr>
    </w:lvl>
    <w:lvl w:ilvl="4" w:tplc="04090003" w:tentative="1">
      <w:start w:val="1"/>
      <w:numFmt w:val="bullet"/>
      <w:lvlText w:val="o"/>
      <w:lvlJc w:val="left"/>
      <w:pPr>
        <w:ind w:left="4876" w:hanging="360"/>
      </w:pPr>
      <w:rPr>
        <w:rFonts w:ascii="Courier New" w:hAnsi="Courier New" w:cs="Courier New" w:hint="default"/>
      </w:rPr>
    </w:lvl>
    <w:lvl w:ilvl="5" w:tplc="04090005" w:tentative="1">
      <w:start w:val="1"/>
      <w:numFmt w:val="bullet"/>
      <w:lvlText w:val=""/>
      <w:lvlJc w:val="left"/>
      <w:pPr>
        <w:ind w:left="5596" w:hanging="360"/>
      </w:pPr>
      <w:rPr>
        <w:rFonts w:ascii="Wingdings" w:hAnsi="Wingdings" w:hint="default"/>
      </w:rPr>
    </w:lvl>
    <w:lvl w:ilvl="6" w:tplc="04090001" w:tentative="1">
      <w:start w:val="1"/>
      <w:numFmt w:val="bullet"/>
      <w:lvlText w:val=""/>
      <w:lvlJc w:val="left"/>
      <w:pPr>
        <w:ind w:left="6316" w:hanging="360"/>
      </w:pPr>
      <w:rPr>
        <w:rFonts w:ascii="Symbol" w:hAnsi="Symbol" w:hint="default"/>
      </w:rPr>
    </w:lvl>
    <w:lvl w:ilvl="7" w:tplc="04090003" w:tentative="1">
      <w:start w:val="1"/>
      <w:numFmt w:val="bullet"/>
      <w:lvlText w:val="o"/>
      <w:lvlJc w:val="left"/>
      <w:pPr>
        <w:ind w:left="7036" w:hanging="360"/>
      </w:pPr>
      <w:rPr>
        <w:rFonts w:ascii="Courier New" w:hAnsi="Courier New" w:cs="Courier New" w:hint="default"/>
      </w:rPr>
    </w:lvl>
    <w:lvl w:ilvl="8" w:tplc="04090005" w:tentative="1">
      <w:start w:val="1"/>
      <w:numFmt w:val="bullet"/>
      <w:lvlText w:val=""/>
      <w:lvlJc w:val="left"/>
      <w:pPr>
        <w:ind w:left="7756" w:hanging="360"/>
      </w:pPr>
      <w:rPr>
        <w:rFonts w:ascii="Wingdings" w:hAnsi="Wingdings" w:hint="default"/>
      </w:rPr>
    </w:lvl>
  </w:abstractNum>
  <w:abstractNum w:abstractNumId="13" w15:restartNumberingAfterBreak="0">
    <w:nsid w:val="18411C67"/>
    <w:multiLevelType w:val="hybridMultilevel"/>
    <w:tmpl w:val="ACD01BCE"/>
    <w:lvl w:ilvl="0" w:tplc="041A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AD92CEF"/>
    <w:multiLevelType w:val="hybridMultilevel"/>
    <w:tmpl w:val="08C6CED2"/>
    <w:lvl w:ilvl="0" w:tplc="041A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82C5A6B"/>
    <w:multiLevelType w:val="hybridMultilevel"/>
    <w:tmpl w:val="4EB2639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EB48E2"/>
    <w:multiLevelType w:val="hybridMultilevel"/>
    <w:tmpl w:val="4F7A6FE0"/>
    <w:lvl w:ilvl="0" w:tplc="041A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15:restartNumberingAfterBreak="0">
    <w:nsid w:val="336B4D2A"/>
    <w:multiLevelType w:val="hybridMultilevel"/>
    <w:tmpl w:val="F0F487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D01821"/>
    <w:multiLevelType w:val="hybridMultilevel"/>
    <w:tmpl w:val="EE1EB1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DE24503"/>
    <w:multiLevelType w:val="hybridMultilevel"/>
    <w:tmpl w:val="A34ACB96"/>
    <w:lvl w:ilvl="0" w:tplc="041A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2EE556F"/>
    <w:multiLevelType w:val="hybridMultilevel"/>
    <w:tmpl w:val="7358948E"/>
    <w:lvl w:ilvl="0" w:tplc="041A0017">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89A0342"/>
    <w:multiLevelType w:val="hybridMultilevel"/>
    <w:tmpl w:val="45AC6678"/>
    <w:lvl w:ilvl="0" w:tplc="041A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043F81"/>
    <w:multiLevelType w:val="hybridMultilevel"/>
    <w:tmpl w:val="E112FAA8"/>
    <w:lvl w:ilvl="0" w:tplc="041A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A2B1EB5"/>
    <w:multiLevelType w:val="hybridMultilevel"/>
    <w:tmpl w:val="EDDCC622"/>
    <w:lvl w:ilvl="0" w:tplc="041A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BD318CA"/>
    <w:multiLevelType w:val="hybridMultilevel"/>
    <w:tmpl w:val="8EC6B7C2"/>
    <w:lvl w:ilvl="0" w:tplc="862E3C80">
      <w:start w:val="4"/>
      <w:numFmt w:val="bullet"/>
      <w:lvlText w:val="-"/>
      <w:lvlJc w:val="left"/>
      <w:pPr>
        <w:ind w:left="720" w:hanging="360"/>
      </w:pPr>
      <w:rPr>
        <w:rFonts w:ascii="Times New Roman" w:eastAsiaTheme="minorHAnsi" w:hAnsi="Times New Roman" w:cs="Times New Roman" w:hint="default"/>
        <w:color w:val="0000CC"/>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D632681"/>
    <w:multiLevelType w:val="hybridMultilevel"/>
    <w:tmpl w:val="D602CAA8"/>
    <w:lvl w:ilvl="0" w:tplc="041A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3F17ADA"/>
    <w:multiLevelType w:val="hybridMultilevel"/>
    <w:tmpl w:val="C204C024"/>
    <w:lvl w:ilvl="0" w:tplc="041A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53F80E3B"/>
    <w:multiLevelType w:val="hybridMultilevel"/>
    <w:tmpl w:val="5CDE42F4"/>
    <w:lvl w:ilvl="0" w:tplc="56F092B2">
      <w:start w:val="1"/>
      <w:numFmt w:val="decimal"/>
      <w:lvlText w:val="%1."/>
      <w:lvlJc w:val="left"/>
      <w:pPr>
        <w:ind w:left="1211" w:hanging="360"/>
      </w:pPr>
      <w:rPr>
        <w:rFonts w:hint="default"/>
        <w:b/>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8" w15:restartNumberingAfterBreak="0">
    <w:nsid w:val="555A295A"/>
    <w:multiLevelType w:val="multilevel"/>
    <w:tmpl w:val="2FF05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B7C6403"/>
    <w:multiLevelType w:val="hybridMultilevel"/>
    <w:tmpl w:val="38685C2A"/>
    <w:lvl w:ilvl="0" w:tplc="041A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E786D9B"/>
    <w:multiLevelType w:val="hybridMultilevel"/>
    <w:tmpl w:val="51A4800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F191020"/>
    <w:multiLevelType w:val="hybridMultilevel"/>
    <w:tmpl w:val="8BBAD9E6"/>
    <w:lvl w:ilvl="0" w:tplc="041A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4317415"/>
    <w:multiLevelType w:val="hybridMultilevel"/>
    <w:tmpl w:val="DE842D90"/>
    <w:lvl w:ilvl="0" w:tplc="B66E1B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4B70681"/>
    <w:multiLevelType w:val="hybridMultilevel"/>
    <w:tmpl w:val="91781982"/>
    <w:lvl w:ilvl="0" w:tplc="041A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EA90CB3"/>
    <w:multiLevelType w:val="hybridMultilevel"/>
    <w:tmpl w:val="B3FEAE6E"/>
    <w:lvl w:ilvl="0" w:tplc="620CED16">
      <w:numFmt w:val="bullet"/>
      <w:lvlText w:val="-"/>
      <w:lvlJc w:val="left"/>
      <w:pPr>
        <w:ind w:left="1440" w:hanging="360"/>
      </w:pPr>
      <w:rPr>
        <w:rFonts w:ascii="Arial" w:eastAsiaTheme="minorHAnsi"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6FF72856"/>
    <w:multiLevelType w:val="hybridMultilevel"/>
    <w:tmpl w:val="69D82432"/>
    <w:lvl w:ilvl="0" w:tplc="041A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5742321"/>
    <w:multiLevelType w:val="hybridMultilevel"/>
    <w:tmpl w:val="25988924"/>
    <w:lvl w:ilvl="0" w:tplc="041A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5C9764F"/>
    <w:multiLevelType w:val="hybridMultilevel"/>
    <w:tmpl w:val="28EC29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6033598"/>
    <w:multiLevelType w:val="hybridMultilevel"/>
    <w:tmpl w:val="97CCF3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60A28C1"/>
    <w:multiLevelType w:val="hybridMultilevel"/>
    <w:tmpl w:val="5EBEF5AE"/>
    <w:lvl w:ilvl="0" w:tplc="041A0011">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0" w15:restartNumberingAfterBreak="0">
    <w:nsid w:val="76D1712B"/>
    <w:multiLevelType w:val="hybridMultilevel"/>
    <w:tmpl w:val="8662E54A"/>
    <w:lvl w:ilvl="0" w:tplc="041A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84E0CC5"/>
    <w:multiLevelType w:val="hybridMultilevel"/>
    <w:tmpl w:val="0ADC1E64"/>
    <w:lvl w:ilvl="0" w:tplc="ECF65F6C">
      <w:start w:val="1"/>
      <w:numFmt w:val="lowerRoman"/>
      <w:lvlText w:val="%1."/>
      <w:lvlJc w:val="left"/>
      <w:pPr>
        <w:ind w:left="1854" w:hanging="72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num w:numId="1">
    <w:abstractNumId w:val="9"/>
  </w:num>
  <w:num w:numId="2">
    <w:abstractNumId w:val="8"/>
  </w:num>
  <w:num w:numId="3">
    <w:abstractNumId w:val="2"/>
  </w:num>
  <w:num w:numId="4">
    <w:abstractNumId w:val="1"/>
  </w:num>
  <w:num w:numId="5">
    <w:abstractNumId w:val="5"/>
  </w:num>
  <w:num w:numId="6">
    <w:abstractNumId w:val="38"/>
  </w:num>
  <w:num w:numId="7">
    <w:abstractNumId w:val="23"/>
  </w:num>
  <w:num w:numId="8">
    <w:abstractNumId w:val="12"/>
  </w:num>
  <w:num w:numId="9">
    <w:abstractNumId w:val="33"/>
  </w:num>
  <w:num w:numId="10">
    <w:abstractNumId w:val="13"/>
  </w:num>
  <w:num w:numId="11">
    <w:abstractNumId w:val="32"/>
  </w:num>
  <w:num w:numId="12">
    <w:abstractNumId w:val="29"/>
  </w:num>
  <w:num w:numId="13">
    <w:abstractNumId w:val="4"/>
  </w:num>
  <w:num w:numId="14">
    <w:abstractNumId w:val="34"/>
  </w:num>
  <w:num w:numId="15">
    <w:abstractNumId w:val="27"/>
  </w:num>
  <w:num w:numId="16">
    <w:abstractNumId w:val="11"/>
  </w:num>
  <w:num w:numId="17">
    <w:abstractNumId w:val="26"/>
  </w:num>
  <w:num w:numId="18">
    <w:abstractNumId w:val="3"/>
  </w:num>
  <w:num w:numId="19">
    <w:abstractNumId w:val="0"/>
  </w:num>
  <w:num w:numId="20">
    <w:abstractNumId w:val="14"/>
  </w:num>
  <w:num w:numId="21">
    <w:abstractNumId w:val="35"/>
  </w:num>
  <w:num w:numId="22">
    <w:abstractNumId w:val="16"/>
  </w:num>
  <w:num w:numId="23">
    <w:abstractNumId w:val="41"/>
  </w:num>
  <w:num w:numId="24">
    <w:abstractNumId w:val="20"/>
  </w:num>
  <w:num w:numId="25">
    <w:abstractNumId w:val="21"/>
  </w:num>
  <w:num w:numId="26">
    <w:abstractNumId w:val="19"/>
  </w:num>
  <w:num w:numId="27">
    <w:abstractNumId w:val="15"/>
  </w:num>
  <w:num w:numId="28">
    <w:abstractNumId w:val="10"/>
  </w:num>
  <w:num w:numId="29">
    <w:abstractNumId w:val="22"/>
  </w:num>
  <w:num w:numId="30">
    <w:abstractNumId w:val="28"/>
  </w:num>
  <w:num w:numId="31">
    <w:abstractNumId w:val="30"/>
  </w:num>
  <w:num w:numId="32">
    <w:abstractNumId w:val="7"/>
  </w:num>
  <w:num w:numId="33">
    <w:abstractNumId w:val="37"/>
  </w:num>
  <w:num w:numId="34">
    <w:abstractNumId w:val="17"/>
  </w:num>
  <w:num w:numId="35">
    <w:abstractNumId w:val="31"/>
  </w:num>
  <w:num w:numId="36">
    <w:abstractNumId w:val="25"/>
  </w:num>
  <w:num w:numId="37">
    <w:abstractNumId w:val="6"/>
  </w:num>
  <w:num w:numId="38">
    <w:abstractNumId w:val="24"/>
  </w:num>
  <w:num w:numId="39">
    <w:abstractNumId w:val="18"/>
  </w:num>
  <w:num w:numId="40">
    <w:abstractNumId w:val="40"/>
  </w:num>
  <w:num w:numId="41">
    <w:abstractNumId w:val="36"/>
  </w:num>
  <w:num w:numId="42">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E05"/>
    <w:rsid w:val="00015DE2"/>
    <w:rsid w:val="0002597A"/>
    <w:rsid w:val="00025ACF"/>
    <w:rsid w:val="00030566"/>
    <w:rsid w:val="00031E84"/>
    <w:rsid w:val="0004213F"/>
    <w:rsid w:val="00046BA5"/>
    <w:rsid w:val="000577A0"/>
    <w:rsid w:val="000670B4"/>
    <w:rsid w:val="00067FFB"/>
    <w:rsid w:val="0007328A"/>
    <w:rsid w:val="0007630E"/>
    <w:rsid w:val="00084DBB"/>
    <w:rsid w:val="00085C47"/>
    <w:rsid w:val="000936F6"/>
    <w:rsid w:val="000A37D9"/>
    <w:rsid w:val="000B1872"/>
    <w:rsid w:val="000D7E14"/>
    <w:rsid w:val="000E1CB3"/>
    <w:rsid w:val="000E369D"/>
    <w:rsid w:val="000F5D5B"/>
    <w:rsid w:val="00101471"/>
    <w:rsid w:val="001049A4"/>
    <w:rsid w:val="001078B4"/>
    <w:rsid w:val="00142E75"/>
    <w:rsid w:val="00144850"/>
    <w:rsid w:val="001449A7"/>
    <w:rsid w:val="001533CF"/>
    <w:rsid w:val="001630B8"/>
    <w:rsid w:val="00173884"/>
    <w:rsid w:val="001926C6"/>
    <w:rsid w:val="0019319C"/>
    <w:rsid w:val="00196AF9"/>
    <w:rsid w:val="001A5C20"/>
    <w:rsid w:val="001E2A68"/>
    <w:rsid w:val="001E4143"/>
    <w:rsid w:val="001F2CCF"/>
    <w:rsid w:val="001F74C0"/>
    <w:rsid w:val="00203744"/>
    <w:rsid w:val="002130AF"/>
    <w:rsid w:val="002530FA"/>
    <w:rsid w:val="00261F07"/>
    <w:rsid w:val="00266AEF"/>
    <w:rsid w:val="00290157"/>
    <w:rsid w:val="00293505"/>
    <w:rsid w:val="00296FDF"/>
    <w:rsid w:val="002A3460"/>
    <w:rsid w:val="002B3539"/>
    <w:rsid w:val="002B3A0D"/>
    <w:rsid w:val="002F0CAE"/>
    <w:rsid w:val="00304522"/>
    <w:rsid w:val="00311681"/>
    <w:rsid w:val="00320568"/>
    <w:rsid w:val="00320A9D"/>
    <w:rsid w:val="003316E8"/>
    <w:rsid w:val="003429C7"/>
    <w:rsid w:val="00345F75"/>
    <w:rsid w:val="00354FBC"/>
    <w:rsid w:val="00367BEF"/>
    <w:rsid w:val="00381642"/>
    <w:rsid w:val="003A7297"/>
    <w:rsid w:val="003D5644"/>
    <w:rsid w:val="003D63E4"/>
    <w:rsid w:val="003F30C2"/>
    <w:rsid w:val="00416F41"/>
    <w:rsid w:val="00420767"/>
    <w:rsid w:val="00446376"/>
    <w:rsid w:val="00473E9A"/>
    <w:rsid w:val="00474C95"/>
    <w:rsid w:val="00484946"/>
    <w:rsid w:val="00492E16"/>
    <w:rsid w:val="004A35E6"/>
    <w:rsid w:val="004A6994"/>
    <w:rsid w:val="004B01A6"/>
    <w:rsid w:val="004B5A47"/>
    <w:rsid w:val="004D2080"/>
    <w:rsid w:val="004D5CE2"/>
    <w:rsid w:val="004E3525"/>
    <w:rsid w:val="00512835"/>
    <w:rsid w:val="005242BC"/>
    <w:rsid w:val="00533E53"/>
    <w:rsid w:val="00553DDA"/>
    <w:rsid w:val="005919BE"/>
    <w:rsid w:val="005A007A"/>
    <w:rsid w:val="005B2DC6"/>
    <w:rsid w:val="005C0A65"/>
    <w:rsid w:val="005D1AC3"/>
    <w:rsid w:val="005D3D55"/>
    <w:rsid w:val="005D437F"/>
    <w:rsid w:val="005D53B5"/>
    <w:rsid w:val="005D5AD3"/>
    <w:rsid w:val="005D686E"/>
    <w:rsid w:val="005E63B8"/>
    <w:rsid w:val="005F6F10"/>
    <w:rsid w:val="006073B9"/>
    <w:rsid w:val="00617CBC"/>
    <w:rsid w:val="006312AC"/>
    <w:rsid w:val="00643336"/>
    <w:rsid w:val="006472EF"/>
    <w:rsid w:val="006502D0"/>
    <w:rsid w:val="006741FE"/>
    <w:rsid w:val="006A3709"/>
    <w:rsid w:val="006B4022"/>
    <w:rsid w:val="006C26E3"/>
    <w:rsid w:val="006D083E"/>
    <w:rsid w:val="006D3B7A"/>
    <w:rsid w:val="006E29AB"/>
    <w:rsid w:val="006E4F95"/>
    <w:rsid w:val="00724678"/>
    <w:rsid w:val="00726A19"/>
    <w:rsid w:val="007476EE"/>
    <w:rsid w:val="0075370D"/>
    <w:rsid w:val="007547DF"/>
    <w:rsid w:val="007556C5"/>
    <w:rsid w:val="00756AFC"/>
    <w:rsid w:val="0076270A"/>
    <w:rsid w:val="007A6C7D"/>
    <w:rsid w:val="007A730F"/>
    <w:rsid w:val="007B03A6"/>
    <w:rsid w:val="007C61B0"/>
    <w:rsid w:val="007E155B"/>
    <w:rsid w:val="007E3CF4"/>
    <w:rsid w:val="007F6FC3"/>
    <w:rsid w:val="00801E40"/>
    <w:rsid w:val="00806E60"/>
    <w:rsid w:val="00813B0B"/>
    <w:rsid w:val="00821631"/>
    <w:rsid w:val="0083652A"/>
    <w:rsid w:val="008438E8"/>
    <w:rsid w:val="00851485"/>
    <w:rsid w:val="00862436"/>
    <w:rsid w:val="008664AA"/>
    <w:rsid w:val="008856A3"/>
    <w:rsid w:val="008C31E8"/>
    <w:rsid w:val="008E5E08"/>
    <w:rsid w:val="008F7090"/>
    <w:rsid w:val="00901BA1"/>
    <w:rsid w:val="0091297F"/>
    <w:rsid w:val="00915183"/>
    <w:rsid w:val="009411E2"/>
    <w:rsid w:val="0094343D"/>
    <w:rsid w:val="00952EA5"/>
    <w:rsid w:val="00954152"/>
    <w:rsid w:val="0095661D"/>
    <w:rsid w:val="00976EE2"/>
    <w:rsid w:val="00990C3E"/>
    <w:rsid w:val="00995948"/>
    <w:rsid w:val="009B7D66"/>
    <w:rsid w:val="009C5E1C"/>
    <w:rsid w:val="009D1B8B"/>
    <w:rsid w:val="009D43C9"/>
    <w:rsid w:val="009F4FDF"/>
    <w:rsid w:val="00A068E0"/>
    <w:rsid w:val="00A464EC"/>
    <w:rsid w:val="00A619EC"/>
    <w:rsid w:val="00A6497F"/>
    <w:rsid w:val="00A7276E"/>
    <w:rsid w:val="00A74CA3"/>
    <w:rsid w:val="00A938D8"/>
    <w:rsid w:val="00A946AD"/>
    <w:rsid w:val="00A94C26"/>
    <w:rsid w:val="00A96A62"/>
    <w:rsid w:val="00AC2632"/>
    <w:rsid w:val="00AE0F58"/>
    <w:rsid w:val="00AE3E3C"/>
    <w:rsid w:val="00AF38A2"/>
    <w:rsid w:val="00AF3DAA"/>
    <w:rsid w:val="00B05B9A"/>
    <w:rsid w:val="00B125AA"/>
    <w:rsid w:val="00B21A47"/>
    <w:rsid w:val="00B277A1"/>
    <w:rsid w:val="00B428ED"/>
    <w:rsid w:val="00B578A8"/>
    <w:rsid w:val="00B6672A"/>
    <w:rsid w:val="00B73850"/>
    <w:rsid w:val="00B83ED2"/>
    <w:rsid w:val="00B83F62"/>
    <w:rsid w:val="00B95199"/>
    <w:rsid w:val="00BA1C4B"/>
    <w:rsid w:val="00BA59A3"/>
    <w:rsid w:val="00BB706E"/>
    <w:rsid w:val="00BC2E6B"/>
    <w:rsid w:val="00BC3D4C"/>
    <w:rsid w:val="00BC5512"/>
    <w:rsid w:val="00BD3D36"/>
    <w:rsid w:val="00BD4A75"/>
    <w:rsid w:val="00BD5B93"/>
    <w:rsid w:val="00BF6EF6"/>
    <w:rsid w:val="00C00E5D"/>
    <w:rsid w:val="00C1599C"/>
    <w:rsid w:val="00C16350"/>
    <w:rsid w:val="00C44845"/>
    <w:rsid w:val="00C44CAE"/>
    <w:rsid w:val="00C51EA9"/>
    <w:rsid w:val="00C5672C"/>
    <w:rsid w:val="00C63F04"/>
    <w:rsid w:val="00C66289"/>
    <w:rsid w:val="00C84F7A"/>
    <w:rsid w:val="00C9183F"/>
    <w:rsid w:val="00CA5BA2"/>
    <w:rsid w:val="00CB1F64"/>
    <w:rsid w:val="00CB5CC1"/>
    <w:rsid w:val="00CC1710"/>
    <w:rsid w:val="00CD5D54"/>
    <w:rsid w:val="00CE2032"/>
    <w:rsid w:val="00CF3BEC"/>
    <w:rsid w:val="00CF6A37"/>
    <w:rsid w:val="00D035DA"/>
    <w:rsid w:val="00D27CDD"/>
    <w:rsid w:val="00D33999"/>
    <w:rsid w:val="00D414D4"/>
    <w:rsid w:val="00D44959"/>
    <w:rsid w:val="00D50BD8"/>
    <w:rsid w:val="00D557BA"/>
    <w:rsid w:val="00D55F1C"/>
    <w:rsid w:val="00D606A2"/>
    <w:rsid w:val="00D65D9B"/>
    <w:rsid w:val="00D77638"/>
    <w:rsid w:val="00D83C06"/>
    <w:rsid w:val="00D8731C"/>
    <w:rsid w:val="00DA3138"/>
    <w:rsid w:val="00DD163F"/>
    <w:rsid w:val="00DF041E"/>
    <w:rsid w:val="00DF6379"/>
    <w:rsid w:val="00E02019"/>
    <w:rsid w:val="00E03E05"/>
    <w:rsid w:val="00E06B74"/>
    <w:rsid w:val="00E377CF"/>
    <w:rsid w:val="00E409F2"/>
    <w:rsid w:val="00E42B24"/>
    <w:rsid w:val="00E50388"/>
    <w:rsid w:val="00E54CEA"/>
    <w:rsid w:val="00E625A1"/>
    <w:rsid w:val="00E679A1"/>
    <w:rsid w:val="00E769DE"/>
    <w:rsid w:val="00EA56F0"/>
    <w:rsid w:val="00EB26C8"/>
    <w:rsid w:val="00EB7520"/>
    <w:rsid w:val="00ED43EC"/>
    <w:rsid w:val="00F011E4"/>
    <w:rsid w:val="00F114D5"/>
    <w:rsid w:val="00F26366"/>
    <w:rsid w:val="00F4172A"/>
    <w:rsid w:val="00F42CD0"/>
    <w:rsid w:val="00F4614D"/>
    <w:rsid w:val="00F54EE3"/>
    <w:rsid w:val="00F81F09"/>
    <w:rsid w:val="00F96008"/>
    <w:rsid w:val="00FA4F0D"/>
    <w:rsid w:val="00FC16A8"/>
    <w:rsid w:val="00FD0579"/>
    <w:rsid w:val="00FD153D"/>
    <w:rsid w:val="00FE7DBF"/>
    <w:rsid w:val="00FF657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CE6CCE"/>
  <w15:docId w15:val="{564C0DA2-61DF-4C3E-AA6F-7D6951309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73E9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C4484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10-9-kurz-s">
    <w:name w:val="t-10-9-kurz-s"/>
    <w:basedOn w:val="Normal"/>
    <w:rsid w:val="00E03E05"/>
    <w:pPr>
      <w:spacing w:before="100" w:beforeAutospacing="1" w:after="100" w:afterAutospacing="1" w:line="240" w:lineRule="auto"/>
      <w:jc w:val="center"/>
    </w:pPr>
    <w:rPr>
      <w:rFonts w:ascii="Times New Roman" w:eastAsia="Times New Roman" w:hAnsi="Times New Roman" w:cs="Times New Roman"/>
      <w:i/>
      <w:iCs/>
      <w:sz w:val="26"/>
      <w:szCs w:val="26"/>
      <w:lang w:eastAsia="hr-HR"/>
    </w:rPr>
  </w:style>
  <w:style w:type="paragraph" w:customStyle="1" w:styleId="clanak">
    <w:name w:val="clanak"/>
    <w:basedOn w:val="Normal"/>
    <w:rsid w:val="00E03E05"/>
    <w:pPr>
      <w:spacing w:before="100" w:beforeAutospacing="1" w:after="100" w:afterAutospacing="1" w:line="240" w:lineRule="auto"/>
      <w:jc w:val="center"/>
    </w:pPr>
    <w:rPr>
      <w:rFonts w:ascii="Times New Roman" w:eastAsia="Times New Roman" w:hAnsi="Times New Roman" w:cs="Times New Roman"/>
      <w:sz w:val="24"/>
      <w:szCs w:val="24"/>
      <w:lang w:eastAsia="hr-HR"/>
    </w:rPr>
  </w:style>
  <w:style w:type="paragraph" w:customStyle="1" w:styleId="t-9-8">
    <w:name w:val="t-9-8"/>
    <w:basedOn w:val="Normal"/>
    <w:rsid w:val="00E03E05"/>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clanak-">
    <w:name w:val="clanak-"/>
    <w:basedOn w:val="Normal"/>
    <w:rsid w:val="00142E75"/>
    <w:pPr>
      <w:spacing w:before="100" w:beforeAutospacing="1" w:after="100" w:afterAutospacing="1" w:line="240" w:lineRule="auto"/>
      <w:jc w:val="center"/>
    </w:pPr>
    <w:rPr>
      <w:rFonts w:ascii="Times New Roman" w:eastAsia="Times New Roman" w:hAnsi="Times New Roman" w:cs="Times New Roman"/>
      <w:sz w:val="24"/>
      <w:szCs w:val="24"/>
      <w:lang w:eastAsia="hr-HR"/>
    </w:rPr>
  </w:style>
  <w:style w:type="paragraph" w:styleId="Header">
    <w:name w:val="header"/>
    <w:basedOn w:val="Normal"/>
    <w:link w:val="HeaderChar"/>
    <w:uiPriority w:val="99"/>
    <w:unhideWhenUsed/>
    <w:rsid w:val="003F30C2"/>
    <w:pPr>
      <w:tabs>
        <w:tab w:val="center" w:pos="4536"/>
        <w:tab w:val="right" w:pos="9072"/>
      </w:tabs>
      <w:spacing w:after="0" w:line="240" w:lineRule="auto"/>
    </w:pPr>
  </w:style>
  <w:style w:type="character" w:customStyle="1" w:styleId="HeaderChar">
    <w:name w:val="Header Char"/>
    <w:basedOn w:val="DefaultParagraphFont"/>
    <w:link w:val="Header"/>
    <w:uiPriority w:val="99"/>
    <w:rsid w:val="003F30C2"/>
  </w:style>
  <w:style w:type="paragraph" w:styleId="Footer">
    <w:name w:val="footer"/>
    <w:basedOn w:val="Normal"/>
    <w:link w:val="FooterChar"/>
    <w:uiPriority w:val="99"/>
    <w:unhideWhenUsed/>
    <w:rsid w:val="003F30C2"/>
    <w:pPr>
      <w:tabs>
        <w:tab w:val="center" w:pos="4536"/>
        <w:tab w:val="right" w:pos="9072"/>
      </w:tabs>
      <w:spacing w:after="0" w:line="240" w:lineRule="auto"/>
    </w:pPr>
  </w:style>
  <w:style w:type="character" w:customStyle="1" w:styleId="FooterChar">
    <w:name w:val="Footer Char"/>
    <w:basedOn w:val="DefaultParagraphFont"/>
    <w:link w:val="Footer"/>
    <w:uiPriority w:val="99"/>
    <w:rsid w:val="003F30C2"/>
  </w:style>
  <w:style w:type="paragraph" w:styleId="BalloonText">
    <w:name w:val="Balloon Text"/>
    <w:basedOn w:val="Normal"/>
    <w:link w:val="BalloonTextChar"/>
    <w:uiPriority w:val="99"/>
    <w:semiHidden/>
    <w:unhideWhenUsed/>
    <w:rsid w:val="006D3B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3B7A"/>
    <w:rPr>
      <w:rFonts w:ascii="Tahoma" w:hAnsi="Tahoma" w:cs="Tahoma"/>
      <w:sz w:val="16"/>
      <w:szCs w:val="16"/>
    </w:rPr>
  </w:style>
  <w:style w:type="character" w:styleId="Hyperlink">
    <w:name w:val="Hyperlink"/>
    <w:basedOn w:val="DefaultParagraphFont"/>
    <w:uiPriority w:val="99"/>
    <w:unhideWhenUsed/>
    <w:rsid w:val="00533E53"/>
    <w:rPr>
      <w:strike w:val="0"/>
      <w:dstrike w:val="0"/>
      <w:color w:val="2D8AC7"/>
      <w:u w:val="none"/>
      <w:effect w:val="none"/>
    </w:rPr>
  </w:style>
  <w:style w:type="paragraph" w:styleId="NormalWeb">
    <w:name w:val="Normal (Web)"/>
    <w:basedOn w:val="Normal"/>
    <w:uiPriority w:val="99"/>
    <w:semiHidden/>
    <w:unhideWhenUsed/>
    <w:rsid w:val="00533E53"/>
    <w:pPr>
      <w:spacing w:before="60" w:after="180" w:line="360" w:lineRule="auto"/>
    </w:pPr>
    <w:rPr>
      <w:rFonts w:ascii="Times New Roman" w:eastAsia="Times New Roman" w:hAnsi="Times New Roman" w:cs="Times New Roman"/>
      <w:sz w:val="24"/>
      <w:szCs w:val="24"/>
      <w:lang w:val="en-US"/>
    </w:rPr>
  </w:style>
  <w:style w:type="character" w:styleId="Emphasis">
    <w:name w:val="Emphasis"/>
    <w:basedOn w:val="DefaultParagraphFont"/>
    <w:uiPriority w:val="20"/>
    <w:qFormat/>
    <w:rsid w:val="00533E53"/>
    <w:rPr>
      <w:i/>
      <w:iCs/>
    </w:rPr>
  </w:style>
  <w:style w:type="character" w:styleId="Strong">
    <w:name w:val="Strong"/>
    <w:basedOn w:val="DefaultParagraphFont"/>
    <w:uiPriority w:val="22"/>
    <w:qFormat/>
    <w:rsid w:val="00533E53"/>
    <w:rPr>
      <w:b/>
      <w:bCs/>
    </w:rPr>
  </w:style>
  <w:style w:type="paragraph" w:styleId="ListParagraph">
    <w:name w:val="List Paragraph"/>
    <w:basedOn w:val="Normal"/>
    <w:uiPriority w:val="34"/>
    <w:qFormat/>
    <w:rsid w:val="003D5644"/>
    <w:pPr>
      <w:ind w:left="720"/>
      <w:contextualSpacing/>
    </w:pPr>
  </w:style>
  <w:style w:type="paragraph" w:customStyle="1" w:styleId="Default">
    <w:name w:val="Default"/>
    <w:rsid w:val="00492E16"/>
    <w:pPr>
      <w:autoSpaceDE w:val="0"/>
      <w:autoSpaceDN w:val="0"/>
      <w:adjustRightInd w:val="0"/>
      <w:spacing w:after="0" w:line="240" w:lineRule="auto"/>
    </w:pPr>
    <w:rPr>
      <w:rFonts w:ascii="Life L2" w:hAnsi="Life L2" w:cs="Life L2"/>
      <w:color w:val="000000"/>
      <w:sz w:val="24"/>
      <w:szCs w:val="24"/>
      <w:lang w:val="en-US"/>
    </w:rPr>
  </w:style>
  <w:style w:type="character" w:styleId="CommentReference">
    <w:name w:val="annotation reference"/>
    <w:basedOn w:val="DefaultParagraphFont"/>
    <w:uiPriority w:val="99"/>
    <w:semiHidden/>
    <w:unhideWhenUsed/>
    <w:rsid w:val="00C16350"/>
    <w:rPr>
      <w:sz w:val="16"/>
      <w:szCs w:val="16"/>
    </w:rPr>
  </w:style>
  <w:style w:type="paragraph" w:styleId="CommentText">
    <w:name w:val="annotation text"/>
    <w:basedOn w:val="Normal"/>
    <w:link w:val="CommentTextChar"/>
    <w:uiPriority w:val="99"/>
    <w:semiHidden/>
    <w:unhideWhenUsed/>
    <w:rsid w:val="00C16350"/>
    <w:pPr>
      <w:spacing w:line="240" w:lineRule="auto"/>
    </w:pPr>
    <w:rPr>
      <w:sz w:val="20"/>
      <w:szCs w:val="20"/>
    </w:rPr>
  </w:style>
  <w:style w:type="character" w:customStyle="1" w:styleId="CommentTextChar">
    <w:name w:val="Comment Text Char"/>
    <w:basedOn w:val="DefaultParagraphFont"/>
    <w:link w:val="CommentText"/>
    <w:uiPriority w:val="99"/>
    <w:semiHidden/>
    <w:rsid w:val="00C16350"/>
    <w:rPr>
      <w:sz w:val="20"/>
      <w:szCs w:val="20"/>
    </w:rPr>
  </w:style>
  <w:style w:type="paragraph" w:styleId="CommentSubject">
    <w:name w:val="annotation subject"/>
    <w:basedOn w:val="CommentText"/>
    <w:next w:val="CommentText"/>
    <w:link w:val="CommentSubjectChar"/>
    <w:uiPriority w:val="99"/>
    <w:semiHidden/>
    <w:unhideWhenUsed/>
    <w:rsid w:val="00C16350"/>
    <w:rPr>
      <w:b/>
      <w:bCs/>
    </w:rPr>
  </w:style>
  <w:style w:type="character" w:customStyle="1" w:styleId="CommentSubjectChar">
    <w:name w:val="Comment Subject Char"/>
    <w:basedOn w:val="CommentTextChar"/>
    <w:link w:val="CommentSubject"/>
    <w:uiPriority w:val="99"/>
    <w:semiHidden/>
    <w:rsid w:val="00C16350"/>
    <w:rPr>
      <w:b/>
      <w:bCs/>
      <w:sz w:val="20"/>
      <w:szCs w:val="20"/>
    </w:rPr>
  </w:style>
  <w:style w:type="character" w:customStyle="1" w:styleId="Heading1Char">
    <w:name w:val="Heading 1 Char"/>
    <w:basedOn w:val="DefaultParagraphFont"/>
    <w:link w:val="Heading1"/>
    <w:uiPriority w:val="9"/>
    <w:rsid w:val="00473E9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C44845"/>
    <w:rPr>
      <w:rFonts w:asciiTheme="majorHAnsi" w:eastAsiaTheme="majorEastAsia" w:hAnsiTheme="majorHAnsi" w:cstheme="majorBidi"/>
      <w:b/>
      <w:bCs/>
      <w:color w:val="4F81BD" w:themeColor="accent1"/>
      <w:sz w:val="26"/>
      <w:szCs w:val="26"/>
    </w:rPr>
  </w:style>
  <w:style w:type="paragraph" w:customStyle="1" w:styleId="t-12-9-fett-s">
    <w:name w:val="t-12-9-fett-s"/>
    <w:basedOn w:val="Normal"/>
    <w:rsid w:val="001F2CCF"/>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tb-na16">
    <w:name w:val="tb-na16"/>
    <w:basedOn w:val="Normal"/>
    <w:rsid w:val="000936F6"/>
    <w:pPr>
      <w:spacing w:before="100" w:beforeAutospacing="1" w:after="100" w:afterAutospacing="1" w:line="240" w:lineRule="auto"/>
      <w:jc w:val="center"/>
    </w:pPr>
    <w:rPr>
      <w:rFonts w:ascii="Times New Roman" w:eastAsia="Times New Roman" w:hAnsi="Times New Roman" w:cs="Times New Roman"/>
      <w:b/>
      <w:bCs/>
      <w:sz w:val="36"/>
      <w:szCs w:val="36"/>
      <w:lang w:eastAsia="hr-HR"/>
    </w:rPr>
  </w:style>
  <w:style w:type="paragraph" w:customStyle="1" w:styleId="t-10-9-kurz-s-fett">
    <w:name w:val="t-10-9-kurz-s-fett"/>
    <w:basedOn w:val="Normal"/>
    <w:rsid w:val="001533CF"/>
    <w:pPr>
      <w:spacing w:before="100" w:beforeAutospacing="1" w:after="100" w:afterAutospacing="1" w:line="240" w:lineRule="auto"/>
      <w:jc w:val="center"/>
    </w:pPr>
    <w:rPr>
      <w:rFonts w:ascii="Times New Roman" w:eastAsia="Times New Roman" w:hAnsi="Times New Roman" w:cs="Times New Roman"/>
      <w:b/>
      <w:bCs/>
      <w:i/>
      <w:iCs/>
      <w:sz w:val="26"/>
      <w:szCs w:val="26"/>
      <w:lang w:val="en-US"/>
    </w:rPr>
  </w:style>
  <w:style w:type="character" w:customStyle="1" w:styleId="kurziv1">
    <w:name w:val="kurziv1"/>
    <w:basedOn w:val="DefaultParagraphFont"/>
    <w:rsid w:val="001533CF"/>
    <w:rPr>
      <w:i/>
      <w:iCs/>
    </w:rPr>
  </w:style>
  <w:style w:type="paragraph" w:styleId="NoSpacing">
    <w:name w:val="No Spacing"/>
    <w:uiPriority w:val="1"/>
    <w:qFormat/>
    <w:rsid w:val="00FE7DBF"/>
    <w:pPr>
      <w:spacing w:after="0" w:line="240" w:lineRule="auto"/>
    </w:pPr>
  </w:style>
  <w:style w:type="character" w:styleId="UnresolvedMention">
    <w:name w:val="Unresolved Mention"/>
    <w:basedOn w:val="DefaultParagraphFont"/>
    <w:uiPriority w:val="99"/>
    <w:semiHidden/>
    <w:unhideWhenUsed/>
    <w:rsid w:val="007B03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916461">
      <w:bodyDiv w:val="1"/>
      <w:marLeft w:val="0"/>
      <w:marRight w:val="0"/>
      <w:marTop w:val="0"/>
      <w:marBottom w:val="0"/>
      <w:divBdr>
        <w:top w:val="none" w:sz="0" w:space="0" w:color="auto"/>
        <w:left w:val="none" w:sz="0" w:space="0" w:color="auto"/>
        <w:bottom w:val="none" w:sz="0" w:space="0" w:color="auto"/>
        <w:right w:val="none" w:sz="0" w:space="0" w:color="auto"/>
      </w:divBdr>
    </w:div>
    <w:div w:id="214049833">
      <w:bodyDiv w:val="1"/>
      <w:marLeft w:val="0"/>
      <w:marRight w:val="0"/>
      <w:marTop w:val="0"/>
      <w:marBottom w:val="0"/>
      <w:divBdr>
        <w:top w:val="none" w:sz="0" w:space="0" w:color="auto"/>
        <w:left w:val="none" w:sz="0" w:space="0" w:color="auto"/>
        <w:bottom w:val="none" w:sz="0" w:space="0" w:color="auto"/>
        <w:right w:val="none" w:sz="0" w:space="0" w:color="auto"/>
      </w:divBdr>
      <w:divsChild>
        <w:div w:id="672074930">
          <w:marLeft w:val="0"/>
          <w:marRight w:val="0"/>
          <w:marTop w:val="0"/>
          <w:marBottom w:val="0"/>
          <w:divBdr>
            <w:top w:val="none" w:sz="0" w:space="0" w:color="auto"/>
            <w:left w:val="none" w:sz="0" w:space="0" w:color="auto"/>
            <w:bottom w:val="none" w:sz="0" w:space="0" w:color="auto"/>
            <w:right w:val="none" w:sz="0" w:space="0" w:color="auto"/>
          </w:divBdr>
          <w:divsChild>
            <w:div w:id="520047525">
              <w:marLeft w:val="0"/>
              <w:marRight w:val="0"/>
              <w:marTop w:val="0"/>
              <w:marBottom w:val="300"/>
              <w:divBdr>
                <w:top w:val="none" w:sz="0" w:space="0" w:color="auto"/>
                <w:left w:val="none" w:sz="0" w:space="0" w:color="auto"/>
                <w:bottom w:val="none" w:sz="0" w:space="0" w:color="auto"/>
                <w:right w:val="none" w:sz="0" w:space="0" w:color="auto"/>
              </w:divBdr>
              <w:divsChild>
                <w:div w:id="652951082">
                  <w:blockQuote w:val="1"/>
                  <w:marLeft w:val="720"/>
                  <w:marRight w:val="0"/>
                  <w:marTop w:val="100"/>
                  <w:marBottom w:val="100"/>
                  <w:divBdr>
                    <w:top w:val="none" w:sz="0" w:space="0" w:color="auto"/>
                    <w:left w:val="none" w:sz="0" w:space="0" w:color="auto"/>
                    <w:bottom w:val="none" w:sz="0" w:space="0" w:color="auto"/>
                    <w:right w:val="none" w:sz="0" w:space="0" w:color="auto"/>
                  </w:divBdr>
                </w:div>
                <w:div w:id="2051685807">
                  <w:blockQuote w:val="1"/>
                  <w:marLeft w:val="720"/>
                  <w:marRight w:val="0"/>
                  <w:marTop w:val="100"/>
                  <w:marBottom w:val="100"/>
                  <w:divBdr>
                    <w:top w:val="none" w:sz="0" w:space="0" w:color="auto"/>
                    <w:left w:val="none" w:sz="0" w:space="0" w:color="auto"/>
                    <w:bottom w:val="none" w:sz="0" w:space="0" w:color="auto"/>
                    <w:right w:val="none" w:sz="0" w:space="0" w:color="auto"/>
                  </w:divBdr>
                </w:div>
                <w:div w:id="1819568625">
                  <w:blockQuote w:val="1"/>
                  <w:marLeft w:val="720"/>
                  <w:marRight w:val="0"/>
                  <w:marTop w:val="100"/>
                  <w:marBottom w:val="100"/>
                  <w:divBdr>
                    <w:top w:val="none" w:sz="0" w:space="0" w:color="auto"/>
                    <w:left w:val="none" w:sz="0" w:space="0" w:color="auto"/>
                    <w:bottom w:val="none" w:sz="0" w:space="0" w:color="auto"/>
                    <w:right w:val="none" w:sz="0" w:space="0" w:color="auto"/>
                  </w:divBdr>
                </w:div>
                <w:div w:id="1824470316">
                  <w:blockQuote w:val="1"/>
                  <w:marLeft w:val="720"/>
                  <w:marRight w:val="0"/>
                  <w:marTop w:val="100"/>
                  <w:marBottom w:val="100"/>
                  <w:divBdr>
                    <w:top w:val="none" w:sz="0" w:space="0" w:color="auto"/>
                    <w:left w:val="none" w:sz="0" w:space="0" w:color="auto"/>
                    <w:bottom w:val="none" w:sz="0" w:space="0" w:color="auto"/>
                    <w:right w:val="none" w:sz="0" w:space="0" w:color="auto"/>
                  </w:divBdr>
                </w:div>
                <w:div w:id="2015260203">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325088282">
      <w:bodyDiv w:val="1"/>
      <w:marLeft w:val="0"/>
      <w:marRight w:val="0"/>
      <w:marTop w:val="0"/>
      <w:marBottom w:val="0"/>
      <w:divBdr>
        <w:top w:val="none" w:sz="0" w:space="0" w:color="auto"/>
        <w:left w:val="none" w:sz="0" w:space="0" w:color="auto"/>
        <w:bottom w:val="none" w:sz="0" w:space="0" w:color="auto"/>
        <w:right w:val="none" w:sz="0" w:space="0" w:color="auto"/>
      </w:divBdr>
      <w:divsChild>
        <w:div w:id="468596253">
          <w:marLeft w:val="0"/>
          <w:marRight w:val="0"/>
          <w:marTop w:val="0"/>
          <w:marBottom w:val="0"/>
          <w:divBdr>
            <w:top w:val="none" w:sz="0" w:space="0" w:color="auto"/>
            <w:left w:val="none" w:sz="0" w:space="0" w:color="auto"/>
            <w:bottom w:val="none" w:sz="0" w:space="0" w:color="auto"/>
            <w:right w:val="none" w:sz="0" w:space="0" w:color="auto"/>
          </w:divBdr>
          <w:divsChild>
            <w:div w:id="472988146">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 w:id="997004716">
      <w:bodyDiv w:val="1"/>
      <w:marLeft w:val="0"/>
      <w:marRight w:val="0"/>
      <w:marTop w:val="0"/>
      <w:marBottom w:val="0"/>
      <w:divBdr>
        <w:top w:val="none" w:sz="0" w:space="0" w:color="auto"/>
        <w:left w:val="none" w:sz="0" w:space="0" w:color="auto"/>
        <w:bottom w:val="none" w:sz="0" w:space="0" w:color="auto"/>
        <w:right w:val="none" w:sz="0" w:space="0" w:color="auto"/>
      </w:divBdr>
      <w:divsChild>
        <w:div w:id="741098465">
          <w:marLeft w:val="0"/>
          <w:marRight w:val="0"/>
          <w:marTop w:val="0"/>
          <w:marBottom w:val="0"/>
          <w:divBdr>
            <w:top w:val="none" w:sz="0" w:space="0" w:color="auto"/>
            <w:left w:val="none" w:sz="0" w:space="0" w:color="auto"/>
            <w:bottom w:val="none" w:sz="0" w:space="0" w:color="auto"/>
            <w:right w:val="none" w:sz="0" w:space="0" w:color="auto"/>
          </w:divBdr>
          <w:divsChild>
            <w:div w:id="434332246">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 w:id="1316570225">
      <w:bodyDiv w:val="1"/>
      <w:marLeft w:val="0"/>
      <w:marRight w:val="0"/>
      <w:marTop w:val="0"/>
      <w:marBottom w:val="0"/>
      <w:divBdr>
        <w:top w:val="none" w:sz="0" w:space="0" w:color="auto"/>
        <w:left w:val="none" w:sz="0" w:space="0" w:color="auto"/>
        <w:bottom w:val="none" w:sz="0" w:space="0" w:color="auto"/>
        <w:right w:val="none" w:sz="0" w:space="0" w:color="auto"/>
      </w:divBdr>
      <w:divsChild>
        <w:div w:id="398139213">
          <w:marLeft w:val="0"/>
          <w:marRight w:val="0"/>
          <w:marTop w:val="0"/>
          <w:marBottom w:val="0"/>
          <w:divBdr>
            <w:top w:val="none" w:sz="0" w:space="0" w:color="auto"/>
            <w:left w:val="none" w:sz="0" w:space="0" w:color="auto"/>
            <w:bottom w:val="none" w:sz="0" w:space="0" w:color="auto"/>
            <w:right w:val="none" w:sz="0" w:space="0" w:color="auto"/>
          </w:divBdr>
          <w:divsChild>
            <w:div w:id="16019680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748532433">
      <w:bodyDiv w:val="1"/>
      <w:marLeft w:val="0"/>
      <w:marRight w:val="0"/>
      <w:marTop w:val="0"/>
      <w:marBottom w:val="0"/>
      <w:divBdr>
        <w:top w:val="none" w:sz="0" w:space="0" w:color="auto"/>
        <w:left w:val="none" w:sz="0" w:space="0" w:color="auto"/>
        <w:bottom w:val="none" w:sz="0" w:space="0" w:color="auto"/>
        <w:right w:val="none" w:sz="0" w:space="0" w:color="auto"/>
      </w:divBdr>
      <w:divsChild>
        <w:div w:id="16122366">
          <w:marLeft w:val="0"/>
          <w:marRight w:val="0"/>
          <w:marTop w:val="0"/>
          <w:marBottom w:val="0"/>
          <w:divBdr>
            <w:top w:val="none" w:sz="0" w:space="0" w:color="auto"/>
            <w:left w:val="none" w:sz="0" w:space="0" w:color="auto"/>
            <w:bottom w:val="none" w:sz="0" w:space="0" w:color="auto"/>
            <w:right w:val="none" w:sz="0" w:space="0" w:color="auto"/>
          </w:divBdr>
          <w:divsChild>
            <w:div w:id="423187865">
              <w:marLeft w:val="0"/>
              <w:marRight w:val="0"/>
              <w:marTop w:val="0"/>
              <w:marBottom w:val="0"/>
              <w:divBdr>
                <w:top w:val="none" w:sz="0" w:space="0" w:color="auto"/>
                <w:left w:val="none" w:sz="0" w:space="0" w:color="auto"/>
                <w:bottom w:val="none" w:sz="0" w:space="0" w:color="auto"/>
                <w:right w:val="none" w:sz="0" w:space="0" w:color="auto"/>
              </w:divBdr>
              <w:divsChild>
                <w:div w:id="700207314">
                  <w:marLeft w:val="0"/>
                  <w:marRight w:val="0"/>
                  <w:marTop w:val="0"/>
                  <w:marBottom w:val="0"/>
                  <w:divBdr>
                    <w:top w:val="single" w:sz="6" w:space="0" w:color="FFFFFF"/>
                    <w:left w:val="none" w:sz="0" w:space="0" w:color="auto"/>
                    <w:bottom w:val="none" w:sz="0" w:space="0" w:color="auto"/>
                    <w:right w:val="none" w:sz="0" w:space="0" w:color="auto"/>
                  </w:divBdr>
                  <w:divsChild>
                    <w:div w:id="1264650248">
                      <w:marLeft w:val="0"/>
                      <w:marRight w:val="0"/>
                      <w:marTop w:val="0"/>
                      <w:marBottom w:val="0"/>
                      <w:divBdr>
                        <w:top w:val="none" w:sz="0" w:space="0" w:color="auto"/>
                        <w:left w:val="none" w:sz="0" w:space="0" w:color="auto"/>
                        <w:bottom w:val="none" w:sz="0" w:space="0" w:color="auto"/>
                        <w:right w:val="none" w:sz="0" w:space="0" w:color="auto"/>
                      </w:divBdr>
                      <w:divsChild>
                        <w:div w:id="1979218651">
                          <w:marLeft w:val="0"/>
                          <w:marRight w:val="0"/>
                          <w:marTop w:val="0"/>
                          <w:marBottom w:val="0"/>
                          <w:divBdr>
                            <w:top w:val="none" w:sz="0" w:space="0" w:color="auto"/>
                            <w:left w:val="none" w:sz="0" w:space="0" w:color="auto"/>
                            <w:bottom w:val="none" w:sz="0" w:space="0" w:color="auto"/>
                            <w:right w:val="none" w:sz="0" w:space="0" w:color="auto"/>
                          </w:divBdr>
                          <w:divsChild>
                            <w:div w:id="32536037">
                              <w:marLeft w:val="0"/>
                              <w:marRight w:val="0"/>
                              <w:marTop w:val="0"/>
                              <w:marBottom w:val="0"/>
                              <w:divBdr>
                                <w:top w:val="none" w:sz="0" w:space="0" w:color="auto"/>
                                <w:left w:val="none" w:sz="0" w:space="0" w:color="auto"/>
                                <w:bottom w:val="none" w:sz="0" w:space="0" w:color="auto"/>
                                <w:right w:val="none" w:sz="0" w:space="0" w:color="auto"/>
                              </w:divBdr>
                              <w:divsChild>
                                <w:div w:id="676885969">
                                  <w:marLeft w:val="0"/>
                                  <w:marRight w:val="0"/>
                                  <w:marTop w:val="0"/>
                                  <w:marBottom w:val="0"/>
                                  <w:divBdr>
                                    <w:top w:val="none" w:sz="0" w:space="0" w:color="auto"/>
                                    <w:left w:val="none" w:sz="0" w:space="0" w:color="auto"/>
                                    <w:bottom w:val="none" w:sz="0" w:space="0" w:color="auto"/>
                                    <w:right w:val="none" w:sz="0" w:space="0" w:color="auto"/>
                                  </w:divBdr>
                                  <w:divsChild>
                                    <w:div w:id="1956063279">
                                      <w:marLeft w:val="0"/>
                                      <w:marRight w:val="0"/>
                                      <w:marTop w:val="0"/>
                                      <w:marBottom w:val="0"/>
                                      <w:divBdr>
                                        <w:top w:val="none" w:sz="0" w:space="0" w:color="auto"/>
                                        <w:left w:val="none" w:sz="0" w:space="0" w:color="auto"/>
                                        <w:bottom w:val="none" w:sz="0" w:space="0" w:color="auto"/>
                                        <w:right w:val="none" w:sz="0" w:space="0" w:color="auto"/>
                                      </w:divBdr>
                                      <w:divsChild>
                                        <w:div w:id="1932082754">
                                          <w:marLeft w:val="0"/>
                                          <w:marRight w:val="0"/>
                                          <w:marTop w:val="0"/>
                                          <w:marBottom w:val="0"/>
                                          <w:divBdr>
                                            <w:top w:val="none" w:sz="0" w:space="0" w:color="auto"/>
                                            <w:left w:val="none" w:sz="0" w:space="0" w:color="auto"/>
                                            <w:bottom w:val="none" w:sz="0" w:space="0" w:color="auto"/>
                                            <w:right w:val="none" w:sz="0" w:space="0" w:color="auto"/>
                                          </w:divBdr>
                                          <w:divsChild>
                                            <w:div w:id="187153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7472899">
      <w:bodyDiv w:val="1"/>
      <w:marLeft w:val="0"/>
      <w:marRight w:val="0"/>
      <w:marTop w:val="0"/>
      <w:marBottom w:val="0"/>
      <w:divBdr>
        <w:top w:val="none" w:sz="0" w:space="0" w:color="auto"/>
        <w:left w:val="none" w:sz="0" w:space="0" w:color="auto"/>
        <w:bottom w:val="none" w:sz="0" w:space="0" w:color="auto"/>
        <w:right w:val="none" w:sz="0" w:space="0" w:color="auto"/>
      </w:divBdr>
      <w:divsChild>
        <w:div w:id="669917309">
          <w:marLeft w:val="0"/>
          <w:marRight w:val="0"/>
          <w:marTop w:val="0"/>
          <w:marBottom w:val="0"/>
          <w:divBdr>
            <w:top w:val="none" w:sz="0" w:space="0" w:color="auto"/>
            <w:left w:val="none" w:sz="0" w:space="0" w:color="auto"/>
            <w:bottom w:val="none" w:sz="0" w:space="0" w:color="auto"/>
            <w:right w:val="none" w:sz="0" w:space="0" w:color="auto"/>
          </w:divBdr>
          <w:divsChild>
            <w:div w:id="8284920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2099019656">
      <w:bodyDiv w:val="1"/>
      <w:marLeft w:val="0"/>
      <w:marRight w:val="0"/>
      <w:marTop w:val="0"/>
      <w:marBottom w:val="0"/>
      <w:divBdr>
        <w:top w:val="none" w:sz="0" w:space="0" w:color="auto"/>
        <w:left w:val="none" w:sz="0" w:space="0" w:color="auto"/>
        <w:bottom w:val="none" w:sz="0" w:space="0" w:color="auto"/>
        <w:right w:val="none" w:sz="0" w:space="0" w:color="auto"/>
      </w:divBdr>
      <w:divsChild>
        <w:div w:id="1916895031">
          <w:marLeft w:val="0"/>
          <w:marRight w:val="0"/>
          <w:marTop w:val="0"/>
          <w:marBottom w:val="0"/>
          <w:divBdr>
            <w:top w:val="none" w:sz="0" w:space="0" w:color="auto"/>
            <w:left w:val="none" w:sz="0" w:space="0" w:color="auto"/>
            <w:bottom w:val="none" w:sz="0" w:space="0" w:color="auto"/>
            <w:right w:val="none" w:sz="0" w:space="0" w:color="auto"/>
          </w:divBdr>
          <w:divsChild>
            <w:div w:id="67203400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146506921">
      <w:bodyDiv w:val="1"/>
      <w:marLeft w:val="0"/>
      <w:marRight w:val="0"/>
      <w:marTop w:val="0"/>
      <w:marBottom w:val="0"/>
      <w:divBdr>
        <w:top w:val="none" w:sz="0" w:space="0" w:color="auto"/>
        <w:left w:val="none" w:sz="0" w:space="0" w:color="auto"/>
        <w:bottom w:val="none" w:sz="0" w:space="0" w:color="auto"/>
        <w:right w:val="none" w:sz="0" w:space="0" w:color="auto"/>
      </w:divBdr>
      <w:divsChild>
        <w:div w:id="98531460">
          <w:marLeft w:val="0"/>
          <w:marRight w:val="0"/>
          <w:marTop w:val="0"/>
          <w:marBottom w:val="0"/>
          <w:divBdr>
            <w:top w:val="none" w:sz="0" w:space="0" w:color="auto"/>
            <w:left w:val="none" w:sz="0" w:space="0" w:color="auto"/>
            <w:bottom w:val="none" w:sz="0" w:space="0" w:color="auto"/>
            <w:right w:val="none" w:sz="0" w:space="0" w:color="auto"/>
          </w:divBdr>
          <w:divsChild>
            <w:div w:id="1074550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dab.hr/" TargetMode="External"/><Relationship Id="rId4" Type="http://schemas.openxmlformats.org/officeDocument/2006/relationships/settings" Target="settings.xml"/><Relationship Id="rId9" Type="http://schemas.openxmlformats.org/officeDocument/2006/relationships/hyperlink" Target="http://www.dab.h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C18537-95B6-4722-96A9-72572AEF00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721</Words>
  <Characters>4114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 Brajnić</dc:creator>
  <cp:lastModifiedBy>Mario Brajnić</cp:lastModifiedBy>
  <cp:revision>4</cp:revision>
  <cp:lastPrinted>2018-08-14T09:05:00Z</cp:lastPrinted>
  <dcterms:created xsi:type="dcterms:W3CDTF">2020-12-29T07:56:00Z</dcterms:created>
  <dcterms:modified xsi:type="dcterms:W3CDTF">2020-12-29T08:10:00Z</dcterms:modified>
</cp:coreProperties>
</file>