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D3C" w:rsidRPr="00843A22" w:rsidRDefault="00DA3D3C" w:rsidP="00AA0BFF">
      <w:pPr>
        <w:ind w:right="-851"/>
        <w:jc w:val="center"/>
        <w:rPr>
          <w:rFonts w:ascii="Arial" w:hAnsi="Arial" w:cs="Arial"/>
          <w:color w:val="000000" w:themeColor="text1"/>
          <w:szCs w:val="18"/>
        </w:rPr>
      </w:pPr>
      <w:r w:rsidRPr="00843A22">
        <w:rPr>
          <w:rFonts w:ascii="Arial" w:eastAsiaTheme="minorHAnsi" w:hAnsi="Arial" w:cs="Arial"/>
          <w:b/>
          <w:color w:val="F26B23"/>
          <w:szCs w:val="18"/>
        </w:rPr>
        <w:t>Opće informacije o kreditu</w:t>
      </w:r>
    </w:p>
    <w:p w:rsidR="00F70490" w:rsidRPr="00843A22" w:rsidRDefault="00DA3D3C" w:rsidP="00DA3D3C">
      <w:pPr>
        <w:pStyle w:val="NoSpacing"/>
        <w:jc w:val="center"/>
        <w:rPr>
          <w:rFonts w:ascii="Arial" w:hAnsi="Arial" w:cs="Arial"/>
          <w:b/>
          <w:color w:val="000000" w:themeColor="text1"/>
          <w:sz w:val="24"/>
          <w:szCs w:val="18"/>
        </w:rPr>
      </w:pPr>
      <w:r w:rsidRPr="00843A22">
        <w:rPr>
          <w:rFonts w:ascii="Arial" w:eastAsiaTheme="minorHAnsi" w:hAnsi="Arial" w:cs="Arial"/>
          <w:b/>
          <w:color w:val="F26B23"/>
          <w:sz w:val="24"/>
          <w:szCs w:val="18"/>
        </w:rPr>
        <w:t>za podmirenje kreditnih obveza u drugim bankama</w:t>
      </w:r>
    </w:p>
    <w:p w:rsidR="00AC71DC" w:rsidRPr="004A613B" w:rsidRDefault="00AC71DC" w:rsidP="00AC71DC">
      <w:pPr>
        <w:pStyle w:val="ListParagraph"/>
        <w:spacing w:after="0" w:line="240" w:lineRule="auto"/>
        <w:ind w:left="426"/>
        <w:rPr>
          <w:rFonts w:ascii="Arial" w:hAnsi="Arial" w:cs="Arial"/>
          <w:b/>
          <w:color w:val="000000" w:themeColor="text1"/>
          <w:sz w:val="18"/>
          <w:szCs w:val="18"/>
        </w:rPr>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3"/>
        <w:gridCol w:w="7796"/>
      </w:tblGrid>
      <w:tr w:rsidR="005F5923" w:rsidRPr="004A613B" w:rsidTr="00DA3D3C">
        <w:trPr>
          <w:trHeight w:val="451"/>
        </w:trPr>
        <w:tc>
          <w:tcPr>
            <w:tcW w:w="10349" w:type="dxa"/>
            <w:gridSpan w:val="2"/>
            <w:tcBorders>
              <w:top w:val="single" w:sz="4" w:space="0" w:color="000000"/>
              <w:left w:val="single" w:sz="4" w:space="0" w:color="000000"/>
              <w:bottom w:val="single" w:sz="4" w:space="0" w:color="000000"/>
              <w:right w:val="single" w:sz="4" w:space="0" w:color="000000"/>
            </w:tcBorders>
            <w:shd w:val="clear" w:color="auto" w:fill="FF6900"/>
            <w:vAlign w:val="center"/>
          </w:tcPr>
          <w:p w:rsidR="00CA53D4" w:rsidRPr="004A613B" w:rsidRDefault="00CA53D4" w:rsidP="006B2AEF">
            <w:pPr>
              <w:jc w:val="left"/>
              <w:rPr>
                <w:rFonts w:ascii="Arial" w:hAnsi="Arial" w:cs="Arial"/>
                <w:b/>
                <w:color w:val="000000" w:themeColor="text1"/>
                <w:sz w:val="18"/>
                <w:szCs w:val="18"/>
              </w:rPr>
            </w:pPr>
            <w:r w:rsidRPr="004A613B">
              <w:rPr>
                <w:rFonts w:ascii="Arial" w:hAnsi="Arial" w:cs="Arial"/>
                <w:b/>
                <w:color w:val="FFFFFF" w:themeColor="background1"/>
                <w:sz w:val="18"/>
                <w:szCs w:val="18"/>
              </w:rPr>
              <w:t>Informacije o kreditnoj instituciji</w:t>
            </w:r>
          </w:p>
        </w:tc>
      </w:tr>
      <w:tr w:rsidR="005F5923" w:rsidRPr="004A613B" w:rsidTr="000E5650">
        <w:tc>
          <w:tcPr>
            <w:tcW w:w="2553" w:type="dxa"/>
            <w:tcBorders>
              <w:top w:val="single" w:sz="4" w:space="0" w:color="000000"/>
              <w:left w:val="single" w:sz="4" w:space="0" w:color="000000"/>
              <w:bottom w:val="single" w:sz="4" w:space="0" w:color="000000"/>
              <w:right w:val="single" w:sz="4" w:space="0" w:color="000000"/>
            </w:tcBorders>
            <w:vAlign w:val="center"/>
            <w:hideMark/>
          </w:tcPr>
          <w:p w:rsidR="00F70490" w:rsidRPr="004A613B" w:rsidRDefault="00F70490" w:rsidP="00CA53D4">
            <w:pPr>
              <w:jc w:val="left"/>
              <w:rPr>
                <w:rFonts w:ascii="Arial" w:hAnsi="Arial" w:cs="Arial"/>
                <w:color w:val="000000" w:themeColor="text1"/>
                <w:sz w:val="18"/>
                <w:szCs w:val="18"/>
              </w:rPr>
            </w:pPr>
            <w:r w:rsidRPr="004A613B">
              <w:rPr>
                <w:rFonts w:ascii="Arial" w:hAnsi="Arial" w:cs="Arial"/>
                <w:color w:val="000000" w:themeColor="text1"/>
                <w:sz w:val="18"/>
                <w:szCs w:val="18"/>
              </w:rPr>
              <w:t xml:space="preserve">Naziv </w:t>
            </w:r>
            <w:r w:rsidR="00CA53D4" w:rsidRPr="004A613B">
              <w:rPr>
                <w:rFonts w:ascii="Arial" w:hAnsi="Arial" w:cs="Arial"/>
                <w:color w:val="000000" w:themeColor="text1"/>
                <w:sz w:val="18"/>
                <w:szCs w:val="18"/>
              </w:rPr>
              <w:t>kreditne institucije</w:t>
            </w:r>
          </w:p>
        </w:tc>
        <w:tc>
          <w:tcPr>
            <w:tcW w:w="7796" w:type="dxa"/>
            <w:tcBorders>
              <w:top w:val="single" w:sz="4" w:space="0" w:color="000000"/>
              <w:left w:val="single" w:sz="4" w:space="0" w:color="000000"/>
              <w:bottom w:val="single" w:sz="4" w:space="0" w:color="000000"/>
              <w:right w:val="single" w:sz="4" w:space="0" w:color="000000"/>
            </w:tcBorders>
            <w:vAlign w:val="center"/>
            <w:hideMark/>
          </w:tcPr>
          <w:p w:rsidR="00F70490" w:rsidRPr="004A613B" w:rsidRDefault="00F70490" w:rsidP="006B2AEF">
            <w:pPr>
              <w:jc w:val="left"/>
              <w:rPr>
                <w:rFonts w:ascii="Arial" w:hAnsi="Arial" w:cs="Arial"/>
                <w:color w:val="000000" w:themeColor="text1"/>
                <w:sz w:val="18"/>
                <w:szCs w:val="18"/>
              </w:rPr>
            </w:pPr>
            <w:r w:rsidRPr="004A613B">
              <w:rPr>
                <w:rFonts w:ascii="Arial" w:hAnsi="Arial" w:cs="Arial"/>
                <w:color w:val="000000" w:themeColor="text1"/>
                <w:sz w:val="18"/>
                <w:szCs w:val="18"/>
              </w:rPr>
              <w:t>Podravska banka d.d.</w:t>
            </w:r>
          </w:p>
        </w:tc>
      </w:tr>
      <w:tr w:rsidR="005F5923" w:rsidRPr="004A613B" w:rsidTr="000E5650">
        <w:tc>
          <w:tcPr>
            <w:tcW w:w="2553" w:type="dxa"/>
            <w:tcBorders>
              <w:top w:val="single" w:sz="4" w:space="0" w:color="000000"/>
              <w:left w:val="single" w:sz="4" w:space="0" w:color="000000"/>
              <w:bottom w:val="single" w:sz="4" w:space="0" w:color="000000"/>
              <w:right w:val="single" w:sz="4" w:space="0" w:color="000000"/>
            </w:tcBorders>
            <w:vAlign w:val="center"/>
            <w:hideMark/>
          </w:tcPr>
          <w:p w:rsidR="00F70490" w:rsidRPr="004A613B" w:rsidRDefault="00F70490" w:rsidP="006B2AEF">
            <w:pPr>
              <w:jc w:val="left"/>
              <w:rPr>
                <w:rFonts w:ascii="Arial" w:hAnsi="Arial" w:cs="Arial"/>
                <w:color w:val="000000" w:themeColor="text1"/>
                <w:sz w:val="18"/>
                <w:szCs w:val="18"/>
              </w:rPr>
            </w:pPr>
            <w:r w:rsidRPr="004A613B">
              <w:rPr>
                <w:rFonts w:ascii="Arial" w:hAnsi="Arial" w:cs="Arial"/>
                <w:color w:val="000000" w:themeColor="text1"/>
                <w:sz w:val="18"/>
                <w:szCs w:val="18"/>
              </w:rPr>
              <w:t xml:space="preserve">Adresa </w:t>
            </w:r>
          </w:p>
        </w:tc>
        <w:tc>
          <w:tcPr>
            <w:tcW w:w="7796" w:type="dxa"/>
            <w:tcBorders>
              <w:top w:val="single" w:sz="4" w:space="0" w:color="000000"/>
              <w:left w:val="single" w:sz="4" w:space="0" w:color="000000"/>
              <w:bottom w:val="single" w:sz="4" w:space="0" w:color="000000"/>
              <w:right w:val="single" w:sz="4" w:space="0" w:color="000000"/>
            </w:tcBorders>
            <w:vAlign w:val="center"/>
            <w:hideMark/>
          </w:tcPr>
          <w:p w:rsidR="00F70490" w:rsidRPr="004A613B" w:rsidRDefault="00F70490" w:rsidP="006B2AEF">
            <w:pPr>
              <w:jc w:val="left"/>
              <w:rPr>
                <w:rFonts w:ascii="Arial" w:hAnsi="Arial" w:cs="Arial"/>
                <w:color w:val="000000" w:themeColor="text1"/>
                <w:sz w:val="18"/>
                <w:szCs w:val="18"/>
              </w:rPr>
            </w:pPr>
            <w:r w:rsidRPr="004A613B">
              <w:rPr>
                <w:rFonts w:ascii="Arial" w:hAnsi="Arial" w:cs="Arial"/>
                <w:color w:val="000000" w:themeColor="text1"/>
                <w:sz w:val="18"/>
                <w:szCs w:val="18"/>
              </w:rPr>
              <w:t>Opatička 3, 48000 Koprivnica</w:t>
            </w:r>
          </w:p>
        </w:tc>
      </w:tr>
      <w:tr w:rsidR="005F5923" w:rsidRPr="004A613B" w:rsidTr="000E5650">
        <w:tc>
          <w:tcPr>
            <w:tcW w:w="2553" w:type="dxa"/>
            <w:tcBorders>
              <w:top w:val="single" w:sz="4" w:space="0" w:color="000000"/>
              <w:left w:val="single" w:sz="4" w:space="0" w:color="000000"/>
              <w:bottom w:val="single" w:sz="4" w:space="0" w:color="000000"/>
              <w:right w:val="single" w:sz="4" w:space="0" w:color="000000"/>
            </w:tcBorders>
            <w:vAlign w:val="center"/>
          </w:tcPr>
          <w:p w:rsidR="00990E60" w:rsidRPr="004A613B" w:rsidRDefault="00990E60" w:rsidP="006B2AEF">
            <w:pPr>
              <w:jc w:val="left"/>
              <w:rPr>
                <w:rFonts w:ascii="Arial" w:hAnsi="Arial" w:cs="Arial"/>
                <w:color w:val="000000" w:themeColor="text1"/>
                <w:sz w:val="18"/>
                <w:szCs w:val="18"/>
              </w:rPr>
            </w:pPr>
            <w:r w:rsidRPr="004A613B">
              <w:rPr>
                <w:rFonts w:ascii="Arial" w:hAnsi="Arial" w:cs="Arial"/>
                <w:color w:val="000000" w:themeColor="text1"/>
                <w:sz w:val="18"/>
                <w:szCs w:val="18"/>
              </w:rPr>
              <w:t>OIB</w:t>
            </w:r>
          </w:p>
        </w:tc>
        <w:tc>
          <w:tcPr>
            <w:tcW w:w="7796" w:type="dxa"/>
            <w:tcBorders>
              <w:top w:val="single" w:sz="4" w:space="0" w:color="000000"/>
              <w:left w:val="single" w:sz="4" w:space="0" w:color="000000"/>
              <w:bottom w:val="single" w:sz="4" w:space="0" w:color="000000"/>
              <w:right w:val="single" w:sz="4" w:space="0" w:color="000000"/>
            </w:tcBorders>
            <w:vAlign w:val="center"/>
          </w:tcPr>
          <w:p w:rsidR="00990E60" w:rsidRPr="004A613B" w:rsidRDefault="00990E60" w:rsidP="006B2AEF">
            <w:pPr>
              <w:jc w:val="left"/>
              <w:rPr>
                <w:rFonts w:ascii="Arial" w:hAnsi="Arial" w:cs="Arial"/>
                <w:color w:val="000000" w:themeColor="text1"/>
                <w:sz w:val="18"/>
                <w:szCs w:val="18"/>
              </w:rPr>
            </w:pPr>
            <w:r w:rsidRPr="004A613B">
              <w:rPr>
                <w:rFonts w:ascii="Arial" w:hAnsi="Arial" w:cs="Arial"/>
                <w:color w:val="000000" w:themeColor="text1"/>
                <w:sz w:val="18"/>
                <w:szCs w:val="18"/>
              </w:rPr>
              <w:t>97326283154</w:t>
            </w:r>
          </w:p>
        </w:tc>
      </w:tr>
      <w:tr w:rsidR="005F5923" w:rsidRPr="004A613B" w:rsidTr="000E5650">
        <w:trPr>
          <w:trHeight w:val="235"/>
        </w:trPr>
        <w:tc>
          <w:tcPr>
            <w:tcW w:w="2553" w:type="dxa"/>
            <w:tcBorders>
              <w:top w:val="single" w:sz="4" w:space="0" w:color="000000"/>
              <w:left w:val="single" w:sz="4" w:space="0" w:color="000000"/>
              <w:bottom w:val="single" w:sz="4" w:space="0" w:color="000000"/>
              <w:right w:val="single" w:sz="4" w:space="0" w:color="000000"/>
            </w:tcBorders>
            <w:vAlign w:val="center"/>
            <w:hideMark/>
          </w:tcPr>
          <w:p w:rsidR="00F70490" w:rsidRPr="004A613B" w:rsidRDefault="00F70490" w:rsidP="006B2AEF">
            <w:pPr>
              <w:jc w:val="left"/>
              <w:rPr>
                <w:rFonts w:ascii="Arial" w:hAnsi="Arial" w:cs="Arial"/>
                <w:color w:val="000000" w:themeColor="text1"/>
                <w:sz w:val="18"/>
                <w:szCs w:val="18"/>
              </w:rPr>
            </w:pPr>
            <w:r w:rsidRPr="004A613B">
              <w:rPr>
                <w:rFonts w:ascii="Arial" w:hAnsi="Arial" w:cs="Arial"/>
                <w:color w:val="000000" w:themeColor="text1"/>
                <w:sz w:val="18"/>
                <w:szCs w:val="18"/>
              </w:rPr>
              <w:t>Broj telefona</w:t>
            </w:r>
            <w:r w:rsidR="00CA53D4" w:rsidRPr="004A613B">
              <w:rPr>
                <w:rFonts w:ascii="Arial" w:hAnsi="Arial" w:cs="Arial"/>
                <w:color w:val="000000" w:themeColor="text1"/>
                <w:sz w:val="18"/>
                <w:szCs w:val="18"/>
              </w:rPr>
              <w:t>/telefaksa</w:t>
            </w:r>
          </w:p>
        </w:tc>
        <w:tc>
          <w:tcPr>
            <w:tcW w:w="7796" w:type="dxa"/>
            <w:tcBorders>
              <w:top w:val="single" w:sz="4" w:space="0" w:color="000000"/>
              <w:left w:val="single" w:sz="4" w:space="0" w:color="000000"/>
              <w:bottom w:val="single" w:sz="4" w:space="0" w:color="000000"/>
              <w:right w:val="single" w:sz="4" w:space="0" w:color="000000"/>
            </w:tcBorders>
            <w:vAlign w:val="center"/>
            <w:hideMark/>
          </w:tcPr>
          <w:p w:rsidR="00F70490" w:rsidRPr="004A613B" w:rsidRDefault="00F70490" w:rsidP="006B2AEF">
            <w:pPr>
              <w:jc w:val="left"/>
              <w:rPr>
                <w:rFonts w:ascii="Arial" w:hAnsi="Arial" w:cs="Arial"/>
                <w:color w:val="000000" w:themeColor="text1"/>
                <w:sz w:val="18"/>
                <w:szCs w:val="18"/>
              </w:rPr>
            </w:pPr>
            <w:r w:rsidRPr="004A613B">
              <w:rPr>
                <w:rFonts w:ascii="Arial" w:hAnsi="Arial" w:cs="Arial"/>
                <w:color w:val="000000" w:themeColor="text1"/>
                <w:sz w:val="18"/>
                <w:szCs w:val="18"/>
              </w:rPr>
              <w:t>072 20 20 20</w:t>
            </w:r>
            <w:r w:rsidR="00CA53D4" w:rsidRPr="004A613B">
              <w:rPr>
                <w:rFonts w:ascii="Arial" w:hAnsi="Arial" w:cs="Arial"/>
                <w:color w:val="000000" w:themeColor="text1"/>
                <w:sz w:val="18"/>
                <w:szCs w:val="18"/>
              </w:rPr>
              <w:t>; telefaks: 072 655 200</w:t>
            </w:r>
          </w:p>
        </w:tc>
      </w:tr>
      <w:tr w:rsidR="005F5923" w:rsidRPr="004A613B" w:rsidTr="000E5650">
        <w:tc>
          <w:tcPr>
            <w:tcW w:w="2553" w:type="dxa"/>
            <w:tcBorders>
              <w:top w:val="single" w:sz="4" w:space="0" w:color="000000"/>
              <w:left w:val="single" w:sz="4" w:space="0" w:color="000000"/>
              <w:bottom w:val="single" w:sz="4" w:space="0" w:color="000000"/>
              <w:right w:val="single" w:sz="4" w:space="0" w:color="000000"/>
            </w:tcBorders>
            <w:vAlign w:val="center"/>
            <w:hideMark/>
          </w:tcPr>
          <w:p w:rsidR="00F70490" w:rsidRPr="004A613B" w:rsidRDefault="00F70490" w:rsidP="006B2AEF">
            <w:pPr>
              <w:jc w:val="left"/>
              <w:rPr>
                <w:rFonts w:ascii="Arial" w:hAnsi="Arial" w:cs="Arial"/>
                <w:color w:val="000000" w:themeColor="text1"/>
                <w:sz w:val="18"/>
                <w:szCs w:val="18"/>
              </w:rPr>
            </w:pPr>
            <w:proofErr w:type="spellStart"/>
            <w:r w:rsidRPr="004A613B">
              <w:rPr>
                <w:rFonts w:ascii="Arial" w:hAnsi="Arial" w:cs="Arial"/>
                <w:color w:val="000000" w:themeColor="text1"/>
                <w:sz w:val="18"/>
                <w:szCs w:val="18"/>
              </w:rPr>
              <w:t>Eletronička</w:t>
            </w:r>
            <w:proofErr w:type="spellEnd"/>
            <w:r w:rsidRPr="004A613B">
              <w:rPr>
                <w:rFonts w:ascii="Arial" w:hAnsi="Arial" w:cs="Arial"/>
                <w:color w:val="000000" w:themeColor="text1"/>
                <w:sz w:val="18"/>
                <w:szCs w:val="18"/>
              </w:rPr>
              <w:t xml:space="preserve"> adresa</w:t>
            </w:r>
          </w:p>
        </w:tc>
        <w:tc>
          <w:tcPr>
            <w:tcW w:w="7796" w:type="dxa"/>
            <w:tcBorders>
              <w:top w:val="single" w:sz="4" w:space="0" w:color="000000"/>
              <w:left w:val="single" w:sz="4" w:space="0" w:color="000000"/>
              <w:bottom w:val="single" w:sz="4" w:space="0" w:color="000000"/>
              <w:right w:val="single" w:sz="4" w:space="0" w:color="000000"/>
            </w:tcBorders>
            <w:vAlign w:val="center"/>
            <w:hideMark/>
          </w:tcPr>
          <w:p w:rsidR="00F70490" w:rsidRPr="004A613B" w:rsidRDefault="00F70490" w:rsidP="006B2AEF">
            <w:pPr>
              <w:jc w:val="left"/>
              <w:rPr>
                <w:rFonts w:ascii="Arial" w:hAnsi="Arial" w:cs="Arial"/>
                <w:color w:val="000000" w:themeColor="text1"/>
                <w:sz w:val="18"/>
                <w:szCs w:val="18"/>
              </w:rPr>
            </w:pPr>
            <w:r w:rsidRPr="004A613B">
              <w:rPr>
                <w:rFonts w:ascii="Arial" w:hAnsi="Arial" w:cs="Arial"/>
                <w:color w:val="000000" w:themeColor="text1"/>
                <w:sz w:val="18"/>
                <w:szCs w:val="18"/>
              </w:rPr>
              <w:t>info@poba.hr</w:t>
            </w:r>
          </w:p>
        </w:tc>
      </w:tr>
      <w:tr w:rsidR="005F5923" w:rsidRPr="004A613B" w:rsidTr="000E5650">
        <w:tc>
          <w:tcPr>
            <w:tcW w:w="2553" w:type="dxa"/>
            <w:tcBorders>
              <w:top w:val="single" w:sz="4" w:space="0" w:color="000000"/>
              <w:left w:val="single" w:sz="4" w:space="0" w:color="000000"/>
              <w:bottom w:val="single" w:sz="4" w:space="0" w:color="000000"/>
              <w:right w:val="single" w:sz="4" w:space="0" w:color="000000"/>
            </w:tcBorders>
            <w:vAlign w:val="center"/>
            <w:hideMark/>
          </w:tcPr>
          <w:p w:rsidR="00F70490" w:rsidRPr="004A613B" w:rsidRDefault="00F70490" w:rsidP="006B2AEF">
            <w:pPr>
              <w:jc w:val="left"/>
              <w:rPr>
                <w:rFonts w:ascii="Arial" w:hAnsi="Arial" w:cs="Arial"/>
                <w:color w:val="000000" w:themeColor="text1"/>
                <w:sz w:val="18"/>
                <w:szCs w:val="18"/>
              </w:rPr>
            </w:pPr>
            <w:r w:rsidRPr="004A613B">
              <w:rPr>
                <w:rFonts w:ascii="Arial" w:hAnsi="Arial" w:cs="Arial"/>
                <w:color w:val="000000" w:themeColor="text1"/>
                <w:sz w:val="18"/>
                <w:szCs w:val="18"/>
              </w:rPr>
              <w:t>Internetska stranica</w:t>
            </w:r>
          </w:p>
        </w:tc>
        <w:tc>
          <w:tcPr>
            <w:tcW w:w="7796" w:type="dxa"/>
            <w:tcBorders>
              <w:top w:val="single" w:sz="4" w:space="0" w:color="000000"/>
              <w:left w:val="single" w:sz="4" w:space="0" w:color="000000"/>
              <w:bottom w:val="single" w:sz="4" w:space="0" w:color="000000"/>
              <w:right w:val="single" w:sz="4" w:space="0" w:color="000000"/>
            </w:tcBorders>
            <w:vAlign w:val="center"/>
            <w:hideMark/>
          </w:tcPr>
          <w:p w:rsidR="00F70490" w:rsidRPr="004A613B" w:rsidRDefault="00F70490" w:rsidP="006B2AEF">
            <w:pPr>
              <w:jc w:val="left"/>
              <w:rPr>
                <w:rFonts w:ascii="Arial" w:hAnsi="Arial" w:cs="Arial"/>
                <w:color w:val="000000" w:themeColor="text1"/>
                <w:sz w:val="18"/>
                <w:szCs w:val="18"/>
              </w:rPr>
            </w:pPr>
            <w:r w:rsidRPr="004A613B">
              <w:rPr>
                <w:rFonts w:ascii="Arial" w:hAnsi="Arial" w:cs="Arial"/>
                <w:color w:val="000000" w:themeColor="text1"/>
                <w:sz w:val="18"/>
                <w:szCs w:val="18"/>
              </w:rPr>
              <w:t>www.poba.hr</w:t>
            </w:r>
          </w:p>
        </w:tc>
      </w:tr>
      <w:tr w:rsidR="005F5923" w:rsidRPr="004A613B" w:rsidTr="000E5650">
        <w:tc>
          <w:tcPr>
            <w:tcW w:w="2553" w:type="dxa"/>
            <w:tcBorders>
              <w:top w:val="single" w:sz="4" w:space="0" w:color="000000"/>
              <w:left w:val="single" w:sz="4" w:space="0" w:color="000000"/>
              <w:bottom w:val="single" w:sz="4" w:space="0" w:color="000000"/>
              <w:right w:val="single" w:sz="4" w:space="0" w:color="000000"/>
            </w:tcBorders>
            <w:vAlign w:val="center"/>
          </w:tcPr>
          <w:p w:rsidR="00990E60" w:rsidRPr="004A613B" w:rsidRDefault="00990E60" w:rsidP="006B2AEF">
            <w:pPr>
              <w:jc w:val="left"/>
              <w:rPr>
                <w:rFonts w:ascii="Arial" w:hAnsi="Arial" w:cs="Arial"/>
                <w:color w:val="000000" w:themeColor="text1"/>
                <w:sz w:val="18"/>
                <w:szCs w:val="18"/>
              </w:rPr>
            </w:pPr>
            <w:r w:rsidRPr="004A613B">
              <w:rPr>
                <w:rFonts w:ascii="Arial" w:hAnsi="Arial" w:cs="Arial"/>
                <w:color w:val="000000" w:themeColor="text1"/>
                <w:sz w:val="18"/>
                <w:szCs w:val="18"/>
              </w:rPr>
              <w:t>BIC/SWIFT</w:t>
            </w:r>
          </w:p>
        </w:tc>
        <w:tc>
          <w:tcPr>
            <w:tcW w:w="7796" w:type="dxa"/>
            <w:tcBorders>
              <w:top w:val="single" w:sz="4" w:space="0" w:color="000000"/>
              <w:left w:val="single" w:sz="4" w:space="0" w:color="000000"/>
              <w:bottom w:val="single" w:sz="4" w:space="0" w:color="000000"/>
              <w:right w:val="single" w:sz="4" w:space="0" w:color="000000"/>
            </w:tcBorders>
            <w:vAlign w:val="center"/>
          </w:tcPr>
          <w:p w:rsidR="00990E60" w:rsidRPr="004A613B" w:rsidRDefault="00990E60" w:rsidP="006B2AEF">
            <w:pPr>
              <w:jc w:val="left"/>
              <w:rPr>
                <w:rFonts w:ascii="Arial" w:hAnsi="Arial" w:cs="Arial"/>
                <w:color w:val="000000" w:themeColor="text1"/>
                <w:sz w:val="18"/>
                <w:szCs w:val="18"/>
              </w:rPr>
            </w:pPr>
            <w:r w:rsidRPr="004A613B">
              <w:rPr>
                <w:rFonts w:ascii="Arial" w:hAnsi="Arial" w:cs="Arial"/>
                <w:color w:val="000000" w:themeColor="text1"/>
                <w:sz w:val="18"/>
                <w:szCs w:val="18"/>
              </w:rPr>
              <w:t>PDKCHR2X</w:t>
            </w:r>
          </w:p>
        </w:tc>
      </w:tr>
    </w:tbl>
    <w:p w:rsidR="00F70490" w:rsidRPr="004A613B" w:rsidRDefault="00F70490" w:rsidP="00F70490">
      <w:pPr>
        <w:rPr>
          <w:rFonts w:ascii="Arial" w:hAnsi="Arial" w:cs="Arial"/>
          <w:b/>
          <w:color w:val="000000" w:themeColor="text1"/>
          <w:sz w:val="18"/>
          <w:szCs w:val="18"/>
        </w:rPr>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8228"/>
      </w:tblGrid>
      <w:tr w:rsidR="005F5923" w:rsidRPr="004A613B" w:rsidTr="00DA3D3C">
        <w:trPr>
          <w:trHeight w:val="463"/>
        </w:trPr>
        <w:tc>
          <w:tcPr>
            <w:tcW w:w="10349" w:type="dxa"/>
            <w:gridSpan w:val="2"/>
            <w:tcBorders>
              <w:top w:val="single" w:sz="4" w:space="0" w:color="000000"/>
              <w:left w:val="single" w:sz="4" w:space="0" w:color="000000"/>
              <w:bottom w:val="single" w:sz="4" w:space="0" w:color="000000"/>
              <w:right w:val="single" w:sz="4" w:space="0" w:color="000000"/>
            </w:tcBorders>
            <w:shd w:val="clear" w:color="auto" w:fill="FF6900"/>
            <w:vAlign w:val="center"/>
          </w:tcPr>
          <w:p w:rsidR="00CA53D4" w:rsidRPr="004A613B" w:rsidRDefault="00DA3D3C" w:rsidP="00DA3D3C">
            <w:pPr>
              <w:jc w:val="left"/>
              <w:rPr>
                <w:rFonts w:ascii="Arial" w:hAnsi="Arial" w:cs="Arial"/>
                <w:b/>
                <w:color w:val="000000" w:themeColor="text1"/>
                <w:sz w:val="18"/>
                <w:szCs w:val="18"/>
              </w:rPr>
            </w:pPr>
            <w:r w:rsidRPr="004A613B">
              <w:rPr>
                <w:rFonts w:ascii="Arial" w:hAnsi="Arial" w:cs="Arial"/>
                <w:b/>
                <w:color w:val="FFFFFF" w:themeColor="background1"/>
                <w:sz w:val="18"/>
                <w:szCs w:val="18"/>
              </w:rPr>
              <w:t>Glavne značajke proizvoda</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425C5B" w:rsidRPr="004A613B" w:rsidRDefault="00425C5B" w:rsidP="000B2E2A">
            <w:pPr>
              <w:rPr>
                <w:rFonts w:ascii="Arial" w:hAnsi="Arial" w:cs="Arial"/>
                <w:color w:val="000000" w:themeColor="text1"/>
                <w:sz w:val="18"/>
                <w:szCs w:val="18"/>
              </w:rPr>
            </w:pPr>
            <w:r w:rsidRPr="004A613B">
              <w:rPr>
                <w:rFonts w:ascii="Arial" w:hAnsi="Arial" w:cs="Arial"/>
                <w:color w:val="000000" w:themeColor="text1"/>
                <w:sz w:val="18"/>
                <w:szCs w:val="18"/>
              </w:rPr>
              <w:t>Vrsta kredita</w:t>
            </w:r>
          </w:p>
        </w:tc>
        <w:tc>
          <w:tcPr>
            <w:tcW w:w="8228" w:type="dxa"/>
            <w:tcBorders>
              <w:top w:val="single" w:sz="4" w:space="0" w:color="000000"/>
              <w:left w:val="single" w:sz="4" w:space="0" w:color="000000"/>
              <w:bottom w:val="single" w:sz="4" w:space="0" w:color="000000"/>
              <w:right w:val="single" w:sz="4" w:space="0" w:color="000000"/>
            </w:tcBorders>
          </w:tcPr>
          <w:p w:rsidR="00425C5B" w:rsidRPr="004A613B" w:rsidRDefault="00892ED1" w:rsidP="00E30C18">
            <w:pPr>
              <w:rPr>
                <w:rFonts w:ascii="Arial" w:hAnsi="Arial" w:cs="Arial"/>
                <w:color w:val="000000" w:themeColor="text1"/>
                <w:sz w:val="18"/>
                <w:szCs w:val="18"/>
              </w:rPr>
            </w:pPr>
            <w:r w:rsidRPr="004A613B">
              <w:rPr>
                <w:rFonts w:ascii="Arial" w:hAnsi="Arial" w:cs="Arial"/>
                <w:color w:val="000000" w:themeColor="text1"/>
                <w:sz w:val="18"/>
                <w:szCs w:val="18"/>
              </w:rPr>
              <w:t>K</w:t>
            </w:r>
            <w:r w:rsidR="00425C5B" w:rsidRPr="004A613B">
              <w:rPr>
                <w:rFonts w:ascii="Arial" w:hAnsi="Arial" w:cs="Arial"/>
                <w:color w:val="000000" w:themeColor="text1"/>
                <w:sz w:val="18"/>
                <w:szCs w:val="18"/>
              </w:rPr>
              <w:t>redit</w:t>
            </w:r>
            <w:r w:rsidR="008F33D2" w:rsidRPr="004A613B">
              <w:rPr>
                <w:rFonts w:ascii="Arial" w:hAnsi="Arial" w:cs="Arial"/>
                <w:color w:val="000000" w:themeColor="text1"/>
                <w:sz w:val="18"/>
                <w:szCs w:val="18"/>
              </w:rPr>
              <w:t xml:space="preserve"> za podmirenje </w:t>
            </w:r>
            <w:r w:rsidR="008B0613" w:rsidRPr="004A613B">
              <w:rPr>
                <w:rFonts w:ascii="Arial" w:hAnsi="Arial" w:cs="Arial"/>
                <w:color w:val="000000" w:themeColor="text1"/>
                <w:sz w:val="18"/>
                <w:szCs w:val="18"/>
              </w:rPr>
              <w:t xml:space="preserve">kreditnih </w:t>
            </w:r>
            <w:r w:rsidR="008F33D2" w:rsidRPr="004A613B">
              <w:rPr>
                <w:rFonts w:ascii="Arial" w:hAnsi="Arial" w:cs="Arial"/>
                <w:color w:val="000000" w:themeColor="text1"/>
                <w:sz w:val="18"/>
                <w:szCs w:val="18"/>
              </w:rPr>
              <w:t>ob</w:t>
            </w:r>
            <w:r w:rsidRPr="004A613B">
              <w:rPr>
                <w:rFonts w:ascii="Arial" w:hAnsi="Arial" w:cs="Arial"/>
                <w:color w:val="000000" w:themeColor="text1"/>
                <w:sz w:val="18"/>
                <w:szCs w:val="18"/>
              </w:rPr>
              <w:t>v</w:t>
            </w:r>
            <w:r w:rsidR="008F33D2" w:rsidRPr="004A613B">
              <w:rPr>
                <w:rFonts w:ascii="Arial" w:hAnsi="Arial" w:cs="Arial"/>
                <w:color w:val="000000" w:themeColor="text1"/>
                <w:sz w:val="18"/>
                <w:szCs w:val="18"/>
              </w:rPr>
              <w:t>e</w:t>
            </w:r>
            <w:r w:rsidRPr="004A613B">
              <w:rPr>
                <w:rFonts w:ascii="Arial" w:hAnsi="Arial" w:cs="Arial"/>
                <w:color w:val="000000" w:themeColor="text1"/>
                <w:sz w:val="18"/>
                <w:szCs w:val="18"/>
              </w:rPr>
              <w:t>za u drugim bankama</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hideMark/>
          </w:tcPr>
          <w:p w:rsidR="00F70490" w:rsidRPr="004A613B" w:rsidRDefault="00CA53D4" w:rsidP="000B2E2A">
            <w:pPr>
              <w:rPr>
                <w:rFonts w:ascii="Arial" w:hAnsi="Arial" w:cs="Arial"/>
                <w:color w:val="000000" w:themeColor="text1"/>
                <w:sz w:val="18"/>
                <w:szCs w:val="18"/>
              </w:rPr>
            </w:pPr>
            <w:r w:rsidRPr="004A613B">
              <w:rPr>
                <w:rFonts w:ascii="Arial" w:hAnsi="Arial" w:cs="Arial"/>
                <w:color w:val="000000" w:themeColor="text1"/>
                <w:sz w:val="18"/>
                <w:szCs w:val="18"/>
              </w:rPr>
              <w:t>Korisnik kredita</w:t>
            </w:r>
          </w:p>
        </w:tc>
        <w:tc>
          <w:tcPr>
            <w:tcW w:w="8228" w:type="dxa"/>
            <w:tcBorders>
              <w:top w:val="single" w:sz="4" w:space="0" w:color="000000"/>
              <w:left w:val="single" w:sz="4" w:space="0" w:color="000000"/>
              <w:bottom w:val="single" w:sz="4" w:space="0" w:color="000000"/>
              <w:right w:val="single" w:sz="4" w:space="0" w:color="000000"/>
            </w:tcBorders>
          </w:tcPr>
          <w:p w:rsidR="00F70490" w:rsidRPr="004A613B" w:rsidRDefault="00CA53D4" w:rsidP="007B0EFE">
            <w:pPr>
              <w:rPr>
                <w:rFonts w:ascii="Arial" w:hAnsi="Arial" w:cs="Arial"/>
                <w:color w:val="000000" w:themeColor="text1"/>
                <w:sz w:val="18"/>
                <w:szCs w:val="18"/>
              </w:rPr>
            </w:pPr>
            <w:r w:rsidRPr="004A613B">
              <w:rPr>
                <w:rFonts w:ascii="Arial" w:hAnsi="Arial" w:cs="Arial"/>
                <w:color w:val="000000" w:themeColor="text1"/>
                <w:sz w:val="18"/>
                <w:szCs w:val="18"/>
              </w:rPr>
              <w:t>Fizička osoba</w:t>
            </w:r>
            <w:r w:rsidR="00357337" w:rsidRPr="004A613B">
              <w:rPr>
                <w:rFonts w:ascii="Arial" w:hAnsi="Arial" w:cs="Arial"/>
                <w:color w:val="000000" w:themeColor="text1"/>
                <w:sz w:val="18"/>
                <w:szCs w:val="18"/>
              </w:rPr>
              <w:t xml:space="preserve">, </w:t>
            </w:r>
            <w:r w:rsidR="007B0EFE" w:rsidRPr="004A613B">
              <w:rPr>
                <w:rFonts w:ascii="Arial" w:hAnsi="Arial" w:cs="Arial"/>
                <w:color w:val="000000" w:themeColor="text1"/>
                <w:sz w:val="18"/>
                <w:szCs w:val="18"/>
              </w:rPr>
              <w:t xml:space="preserve">rezident, novi i postojeći klijent koji ima kreditne obveze u drugim bankama te kreditne obveze supružnika i </w:t>
            </w:r>
            <w:r w:rsidR="00357337" w:rsidRPr="004A613B">
              <w:rPr>
                <w:rFonts w:ascii="Arial" w:hAnsi="Arial" w:cs="Arial"/>
                <w:color w:val="000000" w:themeColor="text1"/>
                <w:sz w:val="18"/>
                <w:szCs w:val="18"/>
              </w:rPr>
              <w:t>koj</w:t>
            </w:r>
            <w:r w:rsidR="007B0EFE" w:rsidRPr="004A613B">
              <w:rPr>
                <w:rFonts w:ascii="Arial" w:hAnsi="Arial" w:cs="Arial"/>
                <w:color w:val="000000" w:themeColor="text1"/>
                <w:sz w:val="18"/>
                <w:szCs w:val="18"/>
              </w:rPr>
              <w:t>i</w:t>
            </w:r>
            <w:r w:rsidR="00357337" w:rsidRPr="004A613B">
              <w:rPr>
                <w:rFonts w:ascii="Arial" w:hAnsi="Arial" w:cs="Arial"/>
                <w:color w:val="000000" w:themeColor="text1"/>
                <w:sz w:val="18"/>
                <w:szCs w:val="18"/>
              </w:rPr>
              <w:t xml:space="preserve"> udovoljava</w:t>
            </w:r>
            <w:r w:rsidR="007B0EFE" w:rsidRPr="004A613B">
              <w:rPr>
                <w:rFonts w:ascii="Arial" w:hAnsi="Arial" w:cs="Arial"/>
                <w:color w:val="000000" w:themeColor="text1"/>
                <w:sz w:val="18"/>
                <w:szCs w:val="18"/>
              </w:rPr>
              <w:t>ju</w:t>
            </w:r>
            <w:r w:rsidR="00357337" w:rsidRPr="004A613B">
              <w:rPr>
                <w:rFonts w:ascii="Arial" w:hAnsi="Arial" w:cs="Arial"/>
                <w:color w:val="000000" w:themeColor="text1"/>
                <w:sz w:val="18"/>
                <w:szCs w:val="18"/>
              </w:rPr>
              <w:t xml:space="preserve"> uvjetima kreditne sposobnosti</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F70490" w:rsidRPr="004A613B" w:rsidRDefault="00CA53D4" w:rsidP="000B2E2A">
            <w:pPr>
              <w:rPr>
                <w:rFonts w:ascii="Arial" w:hAnsi="Arial" w:cs="Arial"/>
                <w:color w:val="000000" w:themeColor="text1"/>
                <w:sz w:val="18"/>
                <w:szCs w:val="18"/>
              </w:rPr>
            </w:pPr>
            <w:r w:rsidRPr="004A613B">
              <w:rPr>
                <w:rFonts w:ascii="Arial" w:hAnsi="Arial" w:cs="Arial"/>
                <w:color w:val="000000" w:themeColor="text1"/>
                <w:sz w:val="18"/>
                <w:szCs w:val="18"/>
              </w:rPr>
              <w:t>Namjena kredita</w:t>
            </w:r>
          </w:p>
        </w:tc>
        <w:tc>
          <w:tcPr>
            <w:tcW w:w="8228" w:type="dxa"/>
            <w:tcBorders>
              <w:top w:val="single" w:sz="4" w:space="0" w:color="000000"/>
              <w:left w:val="single" w:sz="4" w:space="0" w:color="000000"/>
              <w:bottom w:val="single" w:sz="4" w:space="0" w:color="000000"/>
              <w:right w:val="single" w:sz="4" w:space="0" w:color="000000"/>
            </w:tcBorders>
          </w:tcPr>
          <w:p w:rsidR="00F70490" w:rsidRPr="004A613B" w:rsidRDefault="007B0EFE" w:rsidP="00905232">
            <w:pPr>
              <w:rPr>
                <w:rFonts w:ascii="Arial" w:hAnsi="Arial" w:cs="Arial"/>
                <w:color w:val="000000" w:themeColor="text1"/>
                <w:sz w:val="18"/>
                <w:szCs w:val="18"/>
              </w:rPr>
            </w:pPr>
            <w:r w:rsidRPr="004A613B">
              <w:rPr>
                <w:rFonts w:ascii="Arial" w:hAnsi="Arial" w:cs="Arial"/>
                <w:color w:val="000000" w:themeColor="text1"/>
                <w:sz w:val="18"/>
                <w:szCs w:val="18"/>
              </w:rPr>
              <w:t xml:space="preserve">Podmirenje </w:t>
            </w:r>
            <w:r w:rsidR="00B42C27" w:rsidRPr="004A613B">
              <w:rPr>
                <w:rFonts w:ascii="Arial" w:hAnsi="Arial" w:cs="Arial"/>
                <w:color w:val="000000" w:themeColor="text1"/>
                <w:sz w:val="18"/>
                <w:szCs w:val="18"/>
              </w:rPr>
              <w:t xml:space="preserve">kreditnih </w:t>
            </w:r>
            <w:r w:rsidRPr="004A613B">
              <w:rPr>
                <w:rFonts w:ascii="Arial" w:hAnsi="Arial" w:cs="Arial"/>
                <w:color w:val="000000" w:themeColor="text1"/>
                <w:sz w:val="18"/>
                <w:szCs w:val="18"/>
              </w:rPr>
              <w:t xml:space="preserve">obveza u drugim bankama, </w:t>
            </w:r>
            <w:proofErr w:type="spellStart"/>
            <w:r w:rsidRPr="004A613B">
              <w:rPr>
                <w:rFonts w:ascii="Arial" w:hAnsi="Arial" w:cs="Arial"/>
                <w:color w:val="000000" w:themeColor="text1"/>
                <w:sz w:val="18"/>
                <w:szCs w:val="18"/>
              </w:rPr>
              <w:t>leasing</w:t>
            </w:r>
            <w:proofErr w:type="spellEnd"/>
            <w:r w:rsidRPr="004A613B">
              <w:rPr>
                <w:rFonts w:ascii="Arial" w:hAnsi="Arial" w:cs="Arial"/>
                <w:color w:val="000000" w:themeColor="text1"/>
                <w:sz w:val="18"/>
                <w:szCs w:val="18"/>
              </w:rPr>
              <w:t xml:space="preserve"> kućama i sl.</w:t>
            </w:r>
            <w:r w:rsidR="00905232" w:rsidRPr="004A613B">
              <w:rPr>
                <w:rFonts w:ascii="Arial" w:hAnsi="Arial" w:cs="Arial"/>
                <w:color w:val="000000" w:themeColor="text1"/>
                <w:sz w:val="18"/>
                <w:szCs w:val="18"/>
              </w:rPr>
              <w:t>,</w:t>
            </w:r>
            <w:r w:rsidRPr="004A613B">
              <w:rPr>
                <w:rFonts w:ascii="Arial" w:hAnsi="Arial" w:cs="Arial"/>
                <w:color w:val="000000" w:themeColor="text1"/>
                <w:sz w:val="18"/>
                <w:szCs w:val="18"/>
              </w:rPr>
              <w:t xml:space="preserve"> a do 30% iznosa kredita </w:t>
            </w:r>
            <w:r w:rsidR="00905232" w:rsidRPr="004A613B">
              <w:rPr>
                <w:rFonts w:ascii="Arial" w:hAnsi="Arial" w:cs="Arial"/>
                <w:color w:val="000000" w:themeColor="text1"/>
                <w:sz w:val="18"/>
                <w:szCs w:val="18"/>
              </w:rPr>
              <w:t xml:space="preserve">moguće je </w:t>
            </w:r>
            <w:r w:rsidRPr="004A613B">
              <w:rPr>
                <w:rFonts w:ascii="Arial" w:hAnsi="Arial" w:cs="Arial"/>
                <w:color w:val="000000" w:themeColor="text1"/>
                <w:sz w:val="18"/>
                <w:szCs w:val="18"/>
              </w:rPr>
              <w:t>isplat</w:t>
            </w:r>
            <w:r w:rsidR="00905232" w:rsidRPr="004A613B">
              <w:rPr>
                <w:rFonts w:ascii="Arial" w:hAnsi="Arial" w:cs="Arial"/>
                <w:color w:val="000000" w:themeColor="text1"/>
                <w:sz w:val="18"/>
                <w:szCs w:val="18"/>
              </w:rPr>
              <w:t>iti</w:t>
            </w:r>
            <w:r w:rsidRPr="004A613B">
              <w:rPr>
                <w:rFonts w:ascii="Arial" w:hAnsi="Arial" w:cs="Arial"/>
                <w:color w:val="000000" w:themeColor="text1"/>
                <w:sz w:val="18"/>
                <w:szCs w:val="18"/>
              </w:rPr>
              <w:t xml:space="preserve"> na tekući račun korisnika kredita u Banci, bez dokumentiranja namjene</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0B2E2A">
            <w:pPr>
              <w:rPr>
                <w:rFonts w:ascii="Arial" w:hAnsi="Arial" w:cs="Arial"/>
                <w:color w:val="000000" w:themeColor="text1"/>
                <w:sz w:val="18"/>
                <w:szCs w:val="18"/>
              </w:rPr>
            </w:pPr>
            <w:r w:rsidRPr="004A613B">
              <w:rPr>
                <w:rFonts w:ascii="Arial" w:hAnsi="Arial" w:cs="Arial"/>
                <w:color w:val="000000" w:themeColor="text1"/>
                <w:sz w:val="18"/>
                <w:szCs w:val="18"/>
              </w:rPr>
              <w:t>Valuta kredita</w:t>
            </w:r>
          </w:p>
        </w:tc>
        <w:tc>
          <w:tcPr>
            <w:tcW w:w="8228" w:type="dxa"/>
            <w:tcBorders>
              <w:top w:val="single" w:sz="4" w:space="0" w:color="000000"/>
              <w:left w:val="single" w:sz="4" w:space="0" w:color="000000"/>
              <w:bottom w:val="single" w:sz="4" w:space="0" w:color="000000"/>
              <w:right w:val="single" w:sz="4" w:space="0" w:color="000000"/>
            </w:tcBorders>
          </w:tcPr>
          <w:p w:rsidR="00EB5CB5" w:rsidRPr="004A613B" w:rsidRDefault="00EB5CB5" w:rsidP="00425C5B">
            <w:pPr>
              <w:rPr>
                <w:rFonts w:ascii="Arial" w:hAnsi="Arial" w:cs="Arial"/>
                <w:color w:val="000000" w:themeColor="text1"/>
                <w:sz w:val="18"/>
                <w:szCs w:val="18"/>
              </w:rPr>
            </w:pPr>
            <w:r w:rsidRPr="004A613B">
              <w:rPr>
                <w:rFonts w:ascii="Arial" w:hAnsi="Arial" w:cs="Arial"/>
                <w:color w:val="000000" w:themeColor="text1"/>
                <w:sz w:val="18"/>
                <w:szCs w:val="18"/>
              </w:rPr>
              <w:t xml:space="preserve">Kredit se odobrava u </w:t>
            </w:r>
            <w:r w:rsidR="004A2FE4">
              <w:rPr>
                <w:rFonts w:ascii="Arial" w:hAnsi="Arial" w:cs="Arial"/>
                <w:color w:val="000000" w:themeColor="text1"/>
                <w:sz w:val="18"/>
                <w:szCs w:val="18"/>
              </w:rPr>
              <w:t>eurima</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0B2E2A">
            <w:pPr>
              <w:rPr>
                <w:rFonts w:ascii="Arial" w:hAnsi="Arial" w:cs="Arial"/>
                <w:color w:val="000000" w:themeColor="text1"/>
                <w:sz w:val="18"/>
                <w:szCs w:val="18"/>
              </w:rPr>
            </w:pPr>
            <w:r w:rsidRPr="004A613B">
              <w:rPr>
                <w:rFonts w:ascii="Arial" w:hAnsi="Arial" w:cs="Arial"/>
                <w:color w:val="000000" w:themeColor="text1"/>
                <w:sz w:val="18"/>
                <w:szCs w:val="18"/>
              </w:rPr>
              <w:t>Iznos kredita</w:t>
            </w:r>
          </w:p>
        </w:tc>
        <w:tc>
          <w:tcPr>
            <w:tcW w:w="8228" w:type="dxa"/>
            <w:tcBorders>
              <w:top w:val="single" w:sz="4" w:space="0" w:color="000000"/>
              <w:left w:val="single" w:sz="4" w:space="0" w:color="000000"/>
              <w:bottom w:val="single" w:sz="4" w:space="0" w:color="000000"/>
              <w:right w:val="single" w:sz="4" w:space="0" w:color="000000"/>
            </w:tcBorders>
          </w:tcPr>
          <w:p w:rsidR="004A2FE4" w:rsidRDefault="00B42C27" w:rsidP="004A2FE4">
            <w:pPr>
              <w:rPr>
                <w:rFonts w:ascii="Arial" w:hAnsi="Arial" w:cs="Arial"/>
                <w:color w:val="000000" w:themeColor="text1"/>
                <w:sz w:val="18"/>
                <w:szCs w:val="18"/>
              </w:rPr>
            </w:pPr>
            <w:r w:rsidRPr="004A613B">
              <w:rPr>
                <w:rFonts w:ascii="Arial" w:hAnsi="Arial" w:cs="Arial"/>
                <w:color w:val="000000" w:themeColor="text1"/>
                <w:sz w:val="18"/>
                <w:szCs w:val="18"/>
              </w:rPr>
              <w:t xml:space="preserve">- od 5.000,00 do 250.000,00 eura </w:t>
            </w:r>
          </w:p>
          <w:p w:rsidR="00EB5CB5" w:rsidRPr="004A613B" w:rsidRDefault="0008728F" w:rsidP="004A2FE4">
            <w:pPr>
              <w:rPr>
                <w:rFonts w:ascii="Arial" w:hAnsi="Arial" w:cs="Arial"/>
                <w:color w:val="000000" w:themeColor="text1"/>
                <w:sz w:val="18"/>
                <w:szCs w:val="18"/>
              </w:rPr>
            </w:pPr>
            <w:r w:rsidRPr="004A613B">
              <w:rPr>
                <w:rFonts w:ascii="Arial" w:hAnsi="Arial" w:cs="Arial"/>
                <w:color w:val="000000" w:themeColor="text1"/>
                <w:sz w:val="18"/>
                <w:szCs w:val="18"/>
              </w:rPr>
              <w:t>Iznos kredita ovisi i o ukupnoj izloženosti prema Banci.</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FB311B">
            <w:pPr>
              <w:rPr>
                <w:rFonts w:ascii="Arial" w:hAnsi="Arial" w:cs="Arial"/>
                <w:color w:val="000000" w:themeColor="text1"/>
                <w:sz w:val="18"/>
                <w:szCs w:val="18"/>
              </w:rPr>
            </w:pPr>
            <w:r w:rsidRPr="004A613B">
              <w:rPr>
                <w:rFonts w:ascii="Arial" w:hAnsi="Arial" w:cs="Arial"/>
                <w:color w:val="000000" w:themeColor="text1"/>
                <w:sz w:val="18"/>
                <w:szCs w:val="18"/>
              </w:rPr>
              <w:t>Rok otplate</w:t>
            </w:r>
          </w:p>
        </w:tc>
        <w:tc>
          <w:tcPr>
            <w:tcW w:w="8228" w:type="dxa"/>
            <w:tcBorders>
              <w:top w:val="single" w:sz="4" w:space="0" w:color="000000"/>
              <w:left w:val="single" w:sz="4" w:space="0" w:color="000000"/>
              <w:bottom w:val="single" w:sz="4" w:space="0" w:color="000000"/>
              <w:right w:val="single" w:sz="4" w:space="0" w:color="000000"/>
            </w:tcBorders>
          </w:tcPr>
          <w:p w:rsidR="00EB5CB5" w:rsidRPr="004A613B" w:rsidRDefault="007B0EFE" w:rsidP="007B0EFE">
            <w:pPr>
              <w:rPr>
                <w:rFonts w:ascii="Arial" w:hAnsi="Arial" w:cs="Arial"/>
                <w:color w:val="000000" w:themeColor="text1"/>
                <w:sz w:val="18"/>
                <w:szCs w:val="18"/>
              </w:rPr>
            </w:pPr>
            <w:r w:rsidRPr="004A613B">
              <w:rPr>
                <w:rFonts w:ascii="Arial" w:hAnsi="Arial" w:cs="Arial"/>
                <w:color w:val="000000" w:themeColor="text1"/>
                <w:sz w:val="18"/>
                <w:szCs w:val="18"/>
              </w:rPr>
              <w:t>Od 13 do 360 mjeseci</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EE0B69">
            <w:pPr>
              <w:rPr>
                <w:rFonts w:ascii="Arial" w:hAnsi="Arial" w:cs="Arial"/>
                <w:color w:val="000000" w:themeColor="text1"/>
                <w:sz w:val="18"/>
                <w:szCs w:val="18"/>
              </w:rPr>
            </w:pPr>
            <w:r w:rsidRPr="004A613B">
              <w:rPr>
                <w:rFonts w:ascii="Arial" w:hAnsi="Arial" w:cs="Arial"/>
                <w:color w:val="000000" w:themeColor="text1"/>
                <w:sz w:val="18"/>
                <w:szCs w:val="18"/>
              </w:rPr>
              <w:t>Poček</w:t>
            </w:r>
          </w:p>
        </w:tc>
        <w:tc>
          <w:tcPr>
            <w:tcW w:w="8228" w:type="dxa"/>
            <w:tcBorders>
              <w:top w:val="single" w:sz="4" w:space="0" w:color="000000"/>
              <w:left w:val="single" w:sz="4" w:space="0" w:color="000000"/>
              <w:bottom w:val="single" w:sz="4" w:space="0" w:color="000000"/>
              <w:right w:val="single" w:sz="4" w:space="0" w:color="000000"/>
            </w:tcBorders>
          </w:tcPr>
          <w:p w:rsidR="00EB5CB5" w:rsidRPr="004A613B" w:rsidRDefault="007B0EFE" w:rsidP="00B37114">
            <w:pPr>
              <w:rPr>
                <w:rFonts w:ascii="Arial" w:hAnsi="Arial" w:cs="Arial"/>
                <w:color w:val="000000" w:themeColor="text1"/>
                <w:sz w:val="18"/>
                <w:szCs w:val="18"/>
              </w:rPr>
            </w:pPr>
            <w:r w:rsidRPr="004A613B">
              <w:rPr>
                <w:rFonts w:ascii="Arial" w:hAnsi="Arial" w:cs="Arial"/>
                <w:color w:val="000000" w:themeColor="text1"/>
                <w:sz w:val="18"/>
                <w:szCs w:val="18"/>
              </w:rPr>
              <w:t>-</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EE0B69">
            <w:pPr>
              <w:rPr>
                <w:rFonts w:ascii="Arial" w:hAnsi="Arial" w:cs="Arial"/>
                <w:color w:val="000000" w:themeColor="text1"/>
                <w:sz w:val="18"/>
                <w:szCs w:val="18"/>
              </w:rPr>
            </w:pPr>
            <w:r w:rsidRPr="004A613B">
              <w:rPr>
                <w:rFonts w:ascii="Arial" w:hAnsi="Arial" w:cs="Arial"/>
                <w:color w:val="000000" w:themeColor="text1"/>
                <w:sz w:val="18"/>
                <w:szCs w:val="18"/>
              </w:rPr>
              <w:t>Rok korištenja</w:t>
            </w:r>
          </w:p>
        </w:tc>
        <w:tc>
          <w:tcPr>
            <w:tcW w:w="8228" w:type="dxa"/>
            <w:tcBorders>
              <w:top w:val="single" w:sz="4" w:space="0" w:color="000000"/>
              <w:left w:val="single" w:sz="4" w:space="0" w:color="000000"/>
              <w:bottom w:val="single" w:sz="4" w:space="0" w:color="000000"/>
              <w:right w:val="single" w:sz="4" w:space="0" w:color="000000"/>
            </w:tcBorders>
          </w:tcPr>
          <w:p w:rsidR="00EB5CB5" w:rsidRPr="004A613B" w:rsidRDefault="007B0EFE" w:rsidP="00EE0B69">
            <w:pPr>
              <w:rPr>
                <w:rFonts w:ascii="Arial" w:hAnsi="Arial" w:cs="Arial"/>
                <w:color w:val="000000" w:themeColor="text1"/>
                <w:sz w:val="18"/>
                <w:szCs w:val="18"/>
              </w:rPr>
            </w:pPr>
            <w:r w:rsidRPr="004A613B">
              <w:rPr>
                <w:rFonts w:ascii="Arial" w:hAnsi="Arial" w:cs="Arial"/>
                <w:color w:val="000000" w:themeColor="text1"/>
                <w:sz w:val="18"/>
                <w:szCs w:val="18"/>
              </w:rPr>
              <w:t>D</w:t>
            </w:r>
            <w:r w:rsidR="00B37114" w:rsidRPr="004A613B">
              <w:rPr>
                <w:rFonts w:ascii="Arial" w:hAnsi="Arial" w:cs="Arial"/>
                <w:color w:val="000000" w:themeColor="text1"/>
                <w:sz w:val="18"/>
                <w:szCs w:val="18"/>
              </w:rPr>
              <w:t>o 3 mjeseca</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EE0B69">
            <w:pPr>
              <w:rPr>
                <w:rFonts w:ascii="Arial" w:hAnsi="Arial" w:cs="Arial"/>
                <w:color w:val="000000" w:themeColor="text1"/>
                <w:sz w:val="18"/>
                <w:szCs w:val="18"/>
              </w:rPr>
            </w:pPr>
            <w:r w:rsidRPr="004A613B">
              <w:rPr>
                <w:rFonts w:ascii="Arial" w:hAnsi="Arial" w:cs="Arial"/>
                <w:color w:val="000000" w:themeColor="text1"/>
                <w:sz w:val="18"/>
                <w:szCs w:val="18"/>
              </w:rPr>
              <w:t>Kamatna stopa</w:t>
            </w:r>
          </w:p>
        </w:tc>
        <w:tc>
          <w:tcPr>
            <w:tcW w:w="8228" w:type="dxa"/>
            <w:tcBorders>
              <w:top w:val="single" w:sz="4" w:space="0" w:color="000000"/>
              <w:left w:val="single" w:sz="4" w:space="0" w:color="000000"/>
              <w:bottom w:val="single" w:sz="4" w:space="0" w:color="000000"/>
              <w:right w:val="single" w:sz="4" w:space="0" w:color="000000"/>
            </w:tcBorders>
          </w:tcPr>
          <w:p w:rsidR="00B641FB" w:rsidRPr="004A613B" w:rsidRDefault="00B641FB" w:rsidP="002E0022">
            <w:pPr>
              <w:numPr>
                <w:ilvl w:val="0"/>
                <w:numId w:val="11"/>
              </w:numPr>
              <w:adjustRightInd w:val="0"/>
              <w:ind w:left="320" w:hanging="283"/>
              <w:rPr>
                <w:rFonts w:ascii="Arial" w:hAnsi="Arial" w:cs="Arial"/>
                <w:color w:val="000000" w:themeColor="text1"/>
                <w:sz w:val="18"/>
                <w:szCs w:val="18"/>
              </w:rPr>
            </w:pPr>
            <w:r w:rsidRPr="004A613B">
              <w:rPr>
                <w:rFonts w:ascii="Arial" w:hAnsi="Arial" w:cs="Arial"/>
                <w:color w:val="000000" w:themeColor="text1"/>
                <w:sz w:val="18"/>
                <w:szCs w:val="18"/>
              </w:rPr>
              <w:t xml:space="preserve">za kredite kod kojih se najmanje 70% ukupnog zaduženja odnosi na zatvaranje stambenih kredita </w:t>
            </w:r>
          </w:p>
          <w:p w:rsidR="004A2FE4" w:rsidRDefault="004A2FE4" w:rsidP="004A2FE4">
            <w:pPr>
              <w:pStyle w:val="ListParagraph"/>
              <w:numPr>
                <w:ilvl w:val="0"/>
                <w:numId w:val="14"/>
              </w:numPr>
              <w:adjustRightInd w:val="0"/>
              <w:rPr>
                <w:rFonts w:ascii="Arial" w:hAnsi="Arial" w:cs="Arial"/>
                <w:color w:val="000000" w:themeColor="text1"/>
                <w:sz w:val="18"/>
                <w:szCs w:val="18"/>
              </w:rPr>
            </w:pPr>
            <w:r w:rsidRPr="004A2FE4">
              <w:rPr>
                <w:rFonts w:ascii="Arial" w:hAnsi="Arial" w:cs="Arial"/>
                <w:color w:val="000000" w:themeColor="text1"/>
                <w:sz w:val="18"/>
                <w:szCs w:val="18"/>
              </w:rPr>
              <w:t>3,</w:t>
            </w:r>
            <w:r w:rsidR="008E5F02">
              <w:rPr>
                <w:rFonts w:ascii="Arial" w:hAnsi="Arial" w:cs="Arial"/>
                <w:color w:val="000000" w:themeColor="text1"/>
                <w:sz w:val="18"/>
                <w:szCs w:val="18"/>
              </w:rPr>
              <w:t>6</w:t>
            </w:r>
            <w:r w:rsidRPr="004A2FE4">
              <w:rPr>
                <w:rFonts w:ascii="Arial" w:hAnsi="Arial" w:cs="Arial"/>
                <w:color w:val="000000" w:themeColor="text1"/>
                <w:sz w:val="18"/>
                <w:szCs w:val="18"/>
              </w:rPr>
              <w:t>%</w:t>
            </w:r>
            <w:r>
              <w:rPr>
                <w:rFonts w:ascii="Arial" w:hAnsi="Arial" w:cs="Arial"/>
                <w:color w:val="000000" w:themeColor="text1"/>
                <w:sz w:val="18"/>
                <w:szCs w:val="18"/>
              </w:rPr>
              <w:t xml:space="preserve">, </w:t>
            </w:r>
            <w:r w:rsidRPr="004A2FE4">
              <w:rPr>
                <w:rFonts w:ascii="Arial" w:hAnsi="Arial" w:cs="Arial"/>
                <w:color w:val="000000" w:themeColor="text1"/>
                <w:sz w:val="18"/>
                <w:szCs w:val="18"/>
              </w:rPr>
              <w:t xml:space="preserve"> fiksna godišnja kamatna stopa, na rok otplate do 10 godina </w:t>
            </w:r>
          </w:p>
          <w:p w:rsidR="004A2FE4" w:rsidRDefault="004A2FE4" w:rsidP="003D1DA2">
            <w:pPr>
              <w:pStyle w:val="ListParagraph"/>
              <w:numPr>
                <w:ilvl w:val="0"/>
                <w:numId w:val="14"/>
              </w:numPr>
              <w:adjustRightInd w:val="0"/>
              <w:spacing w:after="0"/>
              <w:rPr>
                <w:rFonts w:ascii="Arial" w:hAnsi="Arial" w:cs="Arial"/>
                <w:color w:val="000000" w:themeColor="text1"/>
                <w:sz w:val="18"/>
                <w:szCs w:val="18"/>
              </w:rPr>
            </w:pPr>
            <w:r w:rsidRPr="004A2FE4">
              <w:rPr>
                <w:rFonts w:ascii="Arial" w:hAnsi="Arial" w:cs="Arial"/>
                <w:color w:val="000000" w:themeColor="text1"/>
                <w:sz w:val="18"/>
                <w:szCs w:val="18"/>
              </w:rPr>
              <w:t>kombinirana godišnja kamatna stopa - prvih 10 godina fiksna godišnja kamatna stopa 3,</w:t>
            </w:r>
            <w:r w:rsidR="008E5F02">
              <w:rPr>
                <w:rFonts w:ascii="Arial" w:hAnsi="Arial" w:cs="Arial"/>
                <w:color w:val="000000" w:themeColor="text1"/>
                <w:sz w:val="18"/>
                <w:szCs w:val="18"/>
              </w:rPr>
              <w:t>6</w:t>
            </w:r>
            <w:r w:rsidRPr="004A2FE4">
              <w:rPr>
                <w:rFonts w:ascii="Arial" w:hAnsi="Arial" w:cs="Arial"/>
                <w:color w:val="000000" w:themeColor="text1"/>
                <w:sz w:val="18"/>
                <w:szCs w:val="18"/>
              </w:rPr>
              <w:t>%, a nakon toga promjenjiva godišnja kamatna stopa 6M EURIBOR</w:t>
            </w:r>
            <w:r w:rsidR="003D1DA2">
              <w:rPr>
                <w:rFonts w:ascii="Arial" w:hAnsi="Arial" w:cs="Arial"/>
                <w:color w:val="000000" w:themeColor="text1"/>
                <w:sz w:val="18"/>
                <w:szCs w:val="18"/>
              </w:rPr>
              <w:t xml:space="preserve"> </w:t>
            </w:r>
            <w:r w:rsidRPr="004A2FE4">
              <w:rPr>
                <w:rFonts w:ascii="Arial" w:hAnsi="Arial" w:cs="Arial"/>
                <w:color w:val="000000" w:themeColor="text1"/>
                <w:sz w:val="18"/>
                <w:szCs w:val="18"/>
              </w:rPr>
              <w:t>+ fiksna marža 1,</w:t>
            </w:r>
            <w:r w:rsidR="008E5F02">
              <w:rPr>
                <w:rFonts w:ascii="Arial" w:hAnsi="Arial" w:cs="Arial"/>
                <w:color w:val="000000" w:themeColor="text1"/>
                <w:sz w:val="18"/>
                <w:szCs w:val="18"/>
              </w:rPr>
              <w:t>1</w:t>
            </w:r>
            <w:r w:rsidRPr="004A2FE4">
              <w:rPr>
                <w:rFonts w:ascii="Arial" w:hAnsi="Arial" w:cs="Arial"/>
                <w:color w:val="000000" w:themeColor="text1"/>
                <w:sz w:val="18"/>
                <w:szCs w:val="18"/>
              </w:rPr>
              <w:t>9</w:t>
            </w:r>
            <w:r>
              <w:rPr>
                <w:rFonts w:ascii="Arial" w:hAnsi="Arial" w:cs="Arial"/>
                <w:color w:val="000000" w:themeColor="text1"/>
                <w:sz w:val="18"/>
                <w:szCs w:val="18"/>
              </w:rPr>
              <w:t>%</w:t>
            </w:r>
          </w:p>
          <w:p w:rsidR="004A2FE4" w:rsidRPr="004A2FE4" w:rsidRDefault="004A2FE4" w:rsidP="004A2FE4">
            <w:pPr>
              <w:adjustRightInd w:val="0"/>
              <w:rPr>
                <w:rFonts w:ascii="Arial" w:hAnsi="Arial" w:cs="Arial"/>
                <w:color w:val="000000" w:themeColor="text1"/>
                <w:sz w:val="18"/>
                <w:szCs w:val="18"/>
              </w:rPr>
            </w:pPr>
            <w:r w:rsidRPr="004A2FE4">
              <w:rPr>
                <w:rFonts w:ascii="Arial" w:hAnsi="Arial" w:cs="Arial"/>
                <w:color w:val="000000" w:themeColor="text1"/>
                <w:sz w:val="18"/>
                <w:szCs w:val="18"/>
              </w:rPr>
              <w:t>b)</w:t>
            </w:r>
            <w:r w:rsidRPr="004A2FE4">
              <w:rPr>
                <w:rFonts w:ascii="Arial" w:hAnsi="Arial" w:cs="Arial"/>
                <w:color w:val="000000" w:themeColor="text1"/>
                <w:sz w:val="18"/>
                <w:szCs w:val="18"/>
              </w:rPr>
              <w:tab/>
              <w:t>za kredite kojima se podmiruju sve ostale kreditne obveze  (uključujući zatvaranje stambenih kredita do 69% ukupnog zaduženja)</w:t>
            </w:r>
          </w:p>
          <w:p w:rsidR="004A2FE4" w:rsidRPr="004A2FE4" w:rsidRDefault="004A2FE4" w:rsidP="004A2FE4">
            <w:pPr>
              <w:adjustRightInd w:val="0"/>
              <w:rPr>
                <w:rFonts w:ascii="Arial" w:hAnsi="Arial" w:cs="Arial"/>
                <w:color w:val="000000" w:themeColor="text1"/>
                <w:sz w:val="18"/>
                <w:szCs w:val="18"/>
              </w:rPr>
            </w:pPr>
            <w:r>
              <w:rPr>
                <w:rFonts w:ascii="Arial" w:hAnsi="Arial" w:cs="Arial"/>
                <w:color w:val="000000" w:themeColor="text1"/>
                <w:sz w:val="18"/>
                <w:szCs w:val="18"/>
              </w:rPr>
              <w:t xml:space="preserve">       -      </w:t>
            </w:r>
            <w:r w:rsidRPr="004A2FE4">
              <w:rPr>
                <w:rFonts w:ascii="Arial" w:hAnsi="Arial" w:cs="Arial"/>
                <w:color w:val="000000" w:themeColor="text1"/>
                <w:sz w:val="18"/>
                <w:szCs w:val="18"/>
              </w:rPr>
              <w:t xml:space="preserve">4,9% fiksna godišnja kamatna stopa, na rok otplate do 10 godina </w:t>
            </w:r>
          </w:p>
          <w:p w:rsidR="004A2FE4" w:rsidRPr="004A2FE4" w:rsidRDefault="004A2FE4" w:rsidP="004A2FE4">
            <w:pPr>
              <w:adjustRightInd w:val="0"/>
              <w:rPr>
                <w:rFonts w:ascii="Arial" w:hAnsi="Arial" w:cs="Arial"/>
                <w:color w:val="000000" w:themeColor="text1"/>
                <w:sz w:val="18"/>
                <w:szCs w:val="18"/>
              </w:rPr>
            </w:pPr>
            <w:r>
              <w:rPr>
                <w:rFonts w:ascii="Arial" w:hAnsi="Arial" w:cs="Arial"/>
                <w:color w:val="000000" w:themeColor="text1"/>
                <w:sz w:val="18"/>
                <w:szCs w:val="18"/>
              </w:rPr>
              <w:t xml:space="preserve">       -      </w:t>
            </w:r>
            <w:r w:rsidRPr="004A2FE4">
              <w:rPr>
                <w:rFonts w:ascii="Arial" w:hAnsi="Arial" w:cs="Arial"/>
                <w:color w:val="000000" w:themeColor="text1"/>
                <w:sz w:val="18"/>
                <w:szCs w:val="18"/>
              </w:rPr>
              <w:t>kombinirana godišnja kamatna stopa - prvih 10 godina fiksna godišnja kamatna stopa 4,9%, a nakon toga promjenjiva godišnja kamatna stopa 6M EURIBOR</w:t>
            </w:r>
            <w:r w:rsidR="003D1DA2">
              <w:rPr>
                <w:rFonts w:ascii="Arial" w:hAnsi="Arial" w:cs="Arial"/>
                <w:color w:val="000000" w:themeColor="text1"/>
                <w:sz w:val="18"/>
                <w:szCs w:val="18"/>
              </w:rPr>
              <w:t xml:space="preserve"> </w:t>
            </w:r>
            <w:r w:rsidRPr="004A2FE4">
              <w:rPr>
                <w:rFonts w:ascii="Arial" w:hAnsi="Arial" w:cs="Arial"/>
                <w:color w:val="000000" w:themeColor="text1"/>
                <w:sz w:val="18"/>
                <w:szCs w:val="18"/>
              </w:rPr>
              <w:t>+ fiksna marža 3,8</w:t>
            </w:r>
            <w:r>
              <w:rPr>
                <w:rFonts w:ascii="Arial" w:hAnsi="Arial" w:cs="Arial"/>
                <w:color w:val="000000" w:themeColor="text1"/>
                <w:sz w:val="18"/>
                <w:szCs w:val="18"/>
              </w:rPr>
              <w:t>%.</w:t>
            </w:r>
          </w:p>
          <w:p w:rsidR="004A2FE4" w:rsidRDefault="004A2FE4" w:rsidP="002E0022">
            <w:pPr>
              <w:adjustRightInd w:val="0"/>
              <w:rPr>
                <w:rFonts w:ascii="Arial" w:hAnsi="Arial" w:cs="Arial"/>
                <w:color w:val="000000" w:themeColor="text1"/>
                <w:sz w:val="18"/>
                <w:szCs w:val="18"/>
              </w:rPr>
            </w:pPr>
            <w:r w:rsidRPr="004A2FE4">
              <w:rPr>
                <w:rFonts w:ascii="Arial" w:hAnsi="Arial" w:cs="Arial"/>
                <w:color w:val="000000" w:themeColor="text1"/>
                <w:sz w:val="18"/>
                <w:szCs w:val="18"/>
              </w:rPr>
              <w:t xml:space="preserve">Visina 6M </w:t>
            </w:r>
            <w:proofErr w:type="spellStart"/>
            <w:r w:rsidRPr="004A2FE4">
              <w:rPr>
                <w:rFonts w:ascii="Arial" w:hAnsi="Arial" w:cs="Arial"/>
                <w:color w:val="000000" w:themeColor="text1"/>
                <w:sz w:val="18"/>
                <w:szCs w:val="18"/>
              </w:rPr>
              <w:t>Euribor</w:t>
            </w:r>
            <w:proofErr w:type="spellEnd"/>
            <w:r w:rsidRPr="004A2FE4">
              <w:rPr>
                <w:rFonts w:ascii="Arial" w:hAnsi="Arial" w:cs="Arial"/>
                <w:color w:val="000000" w:themeColor="text1"/>
                <w:sz w:val="18"/>
                <w:szCs w:val="18"/>
              </w:rPr>
              <w:t xml:space="preserve">-a utvrđuje se u skladu s Ugovorom o kreditu šestomjesečno. Podaci za promjenjivi parametar EURIBOR su javno dostupni na internetskim stranicama </w:t>
            </w:r>
            <w:hyperlink r:id="rId7" w:history="1">
              <w:r w:rsidRPr="00C26DC6">
                <w:rPr>
                  <w:rStyle w:val="Hyperlink"/>
                  <w:rFonts w:ascii="Arial" w:hAnsi="Arial" w:cs="Arial"/>
                  <w:sz w:val="18"/>
                  <w:szCs w:val="18"/>
                </w:rPr>
                <w:t>https://www.euribor-rates.eu/</w:t>
              </w:r>
            </w:hyperlink>
            <w:r>
              <w:rPr>
                <w:rFonts w:ascii="Arial" w:hAnsi="Arial" w:cs="Arial"/>
                <w:color w:val="000000" w:themeColor="text1"/>
                <w:sz w:val="18"/>
                <w:szCs w:val="18"/>
              </w:rPr>
              <w:t xml:space="preserve"> </w:t>
            </w:r>
          </w:p>
          <w:p w:rsidR="002E0022" w:rsidRPr="004A613B" w:rsidRDefault="002E0022" w:rsidP="002E0022">
            <w:pPr>
              <w:adjustRightInd w:val="0"/>
              <w:rPr>
                <w:rFonts w:ascii="Arial" w:hAnsi="Arial" w:cs="Arial"/>
                <w:color w:val="000000" w:themeColor="text1"/>
                <w:sz w:val="18"/>
                <w:szCs w:val="18"/>
              </w:rPr>
            </w:pPr>
            <w:r w:rsidRPr="004A613B">
              <w:rPr>
                <w:rFonts w:ascii="Arial" w:hAnsi="Arial" w:cs="Arial"/>
                <w:color w:val="000000" w:themeColor="text1"/>
                <w:sz w:val="18"/>
                <w:szCs w:val="18"/>
              </w:rPr>
              <w:t>Primjena i promjenjivost kamatne stope regulirana je Općim uvjetima kreditnog poslovanje s fizičkim osobama – potrošačima i Pravilnikom o promjenjivim kamatnim stopama na kredite potrošača.</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0B2E2A">
            <w:pPr>
              <w:rPr>
                <w:rFonts w:ascii="Arial" w:hAnsi="Arial" w:cs="Arial"/>
                <w:color w:val="000000" w:themeColor="text1"/>
                <w:sz w:val="18"/>
                <w:szCs w:val="18"/>
              </w:rPr>
            </w:pPr>
            <w:r w:rsidRPr="004A613B">
              <w:rPr>
                <w:rFonts w:ascii="Arial" w:hAnsi="Arial" w:cs="Arial"/>
                <w:color w:val="000000" w:themeColor="text1"/>
                <w:sz w:val="18"/>
                <w:szCs w:val="18"/>
              </w:rPr>
              <w:t>Način obračuna kamate</w:t>
            </w:r>
          </w:p>
        </w:tc>
        <w:tc>
          <w:tcPr>
            <w:tcW w:w="8228" w:type="dxa"/>
            <w:tcBorders>
              <w:top w:val="single" w:sz="4" w:space="0" w:color="000000"/>
              <w:left w:val="single" w:sz="4" w:space="0" w:color="000000"/>
              <w:bottom w:val="single" w:sz="4" w:space="0" w:color="000000"/>
              <w:right w:val="single" w:sz="4" w:space="0" w:color="000000"/>
            </w:tcBorders>
          </w:tcPr>
          <w:p w:rsidR="00EB5CB5" w:rsidRPr="004A613B" w:rsidRDefault="00905232" w:rsidP="00E738E1">
            <w:pPr>
              <w:rPr>
                <w:rFonts w:ascii="Arial" w:hAnsi="Arial" w:cs="Arial"/>
                <w:color w:val="000000" w:themeColor="text1"/>
                <w:sz w:val="18"/>
                <w:szCs w:val="18"/>
              </w:rPr>
            </w:pPr>
            <w:r w:rsidRPr="004A613B">
              <w:rPr>
                <w:rFonts w:ascii="Arial" w:hAnsi="Arial" w:cs="Arial"/>
                <w:color w:val="000000" w:themeColor="text1"/>
                <w:sz w:val="18"/>
                <w:szCs w:val="18"/>
              </w:rPr>
              <w:t>Dekurzivno proporcionalna metoda obračuna</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6D494B" w:rsidRPr="004A613B" w:rsidRDefault="006D494B" w:rsidP="000B2E2A">
            <w:pPr>
              <w:rPr>
                <w:rFonts w:ascii="Arial" w:hAnsi="Arial" w:cs="Arial"/>
                <w:color w:val="000000" w:themeColor="text1"/>
                <w:sz w:val="18"/>
                <w:szCs w:val="18"/>
              </w:rPr>
            </w:pPr>
            <w:r w:rsidRPr="004A613B">
              <w:rPr>
                <w:rFonts w:ascii="Arial" w:hAnsi="Arial" w:cs="Arial"/>
                <w:color w:val="000000" w:themeColor="text1"/>
                <w:sz w:val="18"/>
                <w:szCs w:val="18"/>
              </w:rPr>
              <w:t>Instrumenti osiguranja</w:t>
            </w:r>
          </w:p>
        </w:tc>
        <w:tc>
          <w:tcPr>
            <w:tcW w:w="8228" w:type="dxa"/>
            <w:tcBorders>
              <w:top w:val="single" w:sz="4" w:space="0" w:color="000000"/>
              <w:left w:val="single" w:sz="4" w:space="0" w:color="000000"/>
              <w:bottom w:val="single" w:sz="4" w:space="0" w:color="000000"/>
              <w:right w:val="single" w:sz="4" w:space="0" w:color="000000"/>
            </w:tcBorders>
          </w:tcPr>
          <w:p w:rsidR="00811985" w:rsidRPr="004A613B" w:rsidRDefault="00BB7884" w:rsidP="008B6CED">
            <w:pPr>
              <w:rPr>
                <w:rFonts w:ascii="Arial" w:hAnsi="Arial" w:cs="Arial"/>
                <w:color w:val="000000" w:themeColor="text1"/>
                <w:sz w:val="18"/>
                <w:szCs w:val="18"/>
              </w:rPr>
            </w:pPr>
            <w:r w:rsidRPr="004A613B">
              <w:rPr>
                <w:rFonts w:ascii="Arial" w:hAnsi="Arial" w:cs="Arial"/>
                <w:color w:val="000000" w:themeColor="text1"/>
                <w:sz w:val="18"/>
                <w:szCs w:val="18"/>
              </w:rPr>
              <w:t xml:space="preserve">Osnovni </w:t>
            </w:r>
            <w:r w:rsidR="0023430A" w:rsidRPr="004A613B">
              <w:rPr>
                <w:rFonts w:ascii="Arial" w:hAnsi="Arial" w:cs="Arial"/>
                <w:color w:val="000000" w:themeColor="text1"/>
                <w:sz w:val="18"/>
                <w:szCs w:val="18"/>
              </w:rPr>
              <w:t xml:space="preserve">instrumenti osiguranja: </w:t>
            </w:r>
          </w:p>
          <w:p w:rsidR="008B6CED" w:rsidRPr="004A613B" w:rsidRDefault="008B6CED" w:rsidP="008B6CED">
            <w:pPr>
              <w:rPr>
                <w:rFonts w:ascii="Arial" w:hAnsi="Arial" w:cs="Arial"/>
                <w:color w:val="000000" w:themeColor="text1"/>
                <w:sz w:val="18"/>
                <w:szCs w:val="18"/>
              </w:rPr>
            </w:pPr>
            <w:r w:rsidRPr="004A613B">
              <w:rPr>
                <w:rFonts w:ascii="Arial" w:hAnsi="Arial" w:cs="Arial"/>
                <w:color w:val="000000" w:themeColor="text1"/>
                <w:sz w:val="18"/>
                <w:szCs w:val="18"/>
              </w:rPr>
              <w:t>- javnobilježnički potvrđen</w:t>
            </w:r>
            <w:r w:rsidR="00811985" w:rsidRPr="004A613B">
              <w:rPr>
                <w:rFonts w:ascii="Arial" w:hAnsi="Arial" w:cs="Arial"/>
                <w:color w:val="000000" w:themeColor="text1"/>
                <w:sz w:val="18"/>
                <w:szCs w:val="18"/>
              </w:rPr>
              <w:t>a</w:t>
            </w:r>
            <w:r w:rsidRPr="004A613B">
              <w:rPr>
                <w:rFonts w:ascii="Arial" w:hAnsi="Arial" w:cs="Arial"/>
                <w:color w:val="000000" w:themeColor="text1"/>
                <w:sz w:val="18"/>
                <w:szCs w:val="18"/>
              </w:rPr>
              <w:t xml:space="preserve"> izjav</w:t>
            </w:r>
            <w:r w:rsidR="00811985" w:rsidRPr="004A613B">
              <w:rPr>
                <w:rFonts w:ascii="Arial" w:hAnsi="Arial" w:cs="Arial"/>
                <w:color w:val="000000" w:themeColor="text1"/>
                <w:sz w:val="18"/>
                <w:szCs w:val="18"/>
              </w:rPr>
              <w:t>a</w:t>
            </w:r>
            <w:r w:rsidRPr="004A613B">
              <w:rPr>
                <w:rFonts w:ascii="Arial" w:hAnsi="Arial" w:cs="Arial"/>
                <w:color w:val="000000" w:themeColor="text1"/>
                <w:sz w:val="18"/>
                <w:szCs w:val="18"/>
              </w:rPr>
              <w:t xml:space="preserve"> o pljenidbi plaće, mirovine ili sredstava s računa štednje ili s žiro-računa korisnika kredita, sudužnika i jamaca te</w:t>
            </w:r>
          </w:p>
          <w:p w:rsidR="00811985" w:rsidRPr="004A613B" w:rsidRDefault="008B6CED" w:rsidP="008B6CED">
            <w:pPr>
              <w:rPr>
                <w:rFonts w:ascii="Arial" w:hAnsi="Arial" w:cs="Arial"/>
                <w:color w:val="000000" w:themeColor="text1"/>
                <w:sz w:val="18"/>
                <w:szCs w:val="18"/>
              </w:rPr>
            </w:pPr>
            <w:r w:rsidRPr="004A613B">
              <w:rPr>
                <w:rFonts w:ascii="Arial" w:hAnsi="Arial" w:cs="Arial"/>
                <w:color w:val="000000" w:themeColor="text1"/>
                <w:sz w:val="18"/>
                <w:szCs w:val="18"/>
              </w:rPr>
              <w:t>- javnobilježnički potvrđen</w:t>
            </w:r>
            <w:r w:rsidR="00811985" w:rsidRPr="004A613B">
              <w:rPr>
                <w:rFonts w:ascii="Arial" w:hAnsi="Arial" w:cs="Arial"/>
                <w:color w:val="000000" w:themeColor="text1"/>
                <w:sz w:val="18"/>
                <w:szCs w:val="18"/>
              </w:rPr>
              <w:t>a</w:t>
            </w:r>
            <w:r w:rsidRPr="004A613B">
              <w:rPr>
                <w:rFonts w:ascii="Arial" w:hAnsi="Arial" w:cs="Arial"/>
                <w:color w:val="000000" w:themeColor="text1"/>
                <w:sz w:val="18"/>
                <w:szCs w:val="18"/>
              </w:rPr>
              <w:t xml:space="preserve"> zadužnic</w:t>
            </w:r>
            <w:r w:rsidR="00811985" w:rsidRPr="004A613B">
              <w:rPr>
                <w:rFonts w:ascii="Arial" w:hAnsi="Arial" w:cs="Arial"/>
                <w:color w:val="000000" w:themeColor="text1"/>
                <w:sz w:val="18"/>
                <w:szCs w:val="18"/>
              </w:rPr>
              <w:t>a</w:t>
            </w:r>
            <w:r w:rsidRPr="004A613B">
              <w:rPr>
                <w:rFonts w:ascii="Arial" w:hAnsi="Arial" w:cs="Arial"/>
                <w:color w:val="000000" w:themeColor="text1"/>
                <w:sz w:val="18"/>
                <w:szCs w:val="18"/>
              </w:rPr>
              <w:t xml:space="preserve"> od svakog sudionika u kreditnom poslu (za korisnika kredita, sudužnike i jamce).</w:t>
            </w:r>
          </w:p>
          <w:p w:rsidR="00811985" w:rsidRPr="004A613B" w:rsidRDefault="00811985" w:rsidP="00811985">
            <w:pPr>
              <w:rPr>
                <w:rFonts w:ascii="Arial" w:hAnsi="Arial" w:cs="Arial"/>
                <w:color w:val="000000" w:themeColor="text1"/>
                <w:sz w:val="18"/>
                <w:szCs w:val="18"/>
              </w:rPr>
            </w:pPr>
            <w:r w:rsidRPr="004A613B">
              <w:rPr>
                <w:rFonts w:ascii="Arial" w:hAnsi="Arial" w:cs="Arial"/>
                <w:color w:val="000000" w:themeColor="text1"/>
                <w:sz w:val="18"/>
                <w:szCs w:val="18"/>
              </w:rPr>
              <w:t>Dodatni instrumenti osiguranja za kredite iznad 15.00</w:t>
            </w:r>
            <w:r w:rsidR="004C5C1F" w:rsidRPr="004A613B">
              <w:rPr>
                <w:rFonts w:ascii="Arial" w:hAnsi="Arial" w:cs="Arial"/>
                <w:color w:val="000000" w:themeColor="text1"/>
                <w:sz w:val="18"/>
                <w:szCs w:val="18"/>
              </w:rPr>
              <w:t>1,00</w:t>
            </w:r>
            <w:r w:rsidRPr="004A613B">
              <w:rPr>
                <w:rFonts w:ascii="Arial" w:hAnsi="Arial" w:cs="Arial"/>
                <w:color w:val="000000" w:themeColor="text1"/>
                <w:sz w:val="18"/>
                <w:szCs w:val="18"/>
              </w:rPr>
              <w:t xml:space="preserve"> EUR</w:t>
            </w:r>
            <w:r w:rsidR="004A2FE4">
              <w:rPr>
                <w:rFonts w:ascii="Arial" w:hAnsi="Arial" w:cs="Arial"/>
                <w:color w:val="000000" w:themeColor="text1"/>
                <w:sz w:val="18"/>
                <w:szCs w:val="18"/>
              </w:rPr>
              <w:t xml:space="preserve"> </w:t>
            </w:r>
          </w:p>
          <w:p w:rsidR="006D494B" w:rsidRPr="004A613B" w:rsidRDefault="00811985" w:rsidP="00811985">
            <w:pPr>
              <w:rPr>
                <w:rFonts w:ascii="Arial" w:hAnsi="Arial" w:cs="Arial"/>
                <w:color w:val="000000" w:themeColor="text1"/>
                <w:sz w:val="18"/>
                <w:szCs w:val="18"/>
              </w:rPr>
            </w:pPr>
            <w:r w:rsidRPr="004A613B">
              <w:rPr>
                <w:rFonts w:ascii="Arial" w:hAnsi="Arial" w:cs="Arial"/>
                <w:color w:val="000000" w:themeColor="text1"/>
                <w:sz w:val="18"/>
                <w:szCs w:val="18"/>
              </w:rPr>
              <w:t>određeni su visinom primanja, urednošću poslovanja i brojem uzdržavanih članova. Instrumenti mogu biti: zasnivanje založnog prava na nekretnini uz policu osiguranja vinkuliranu u korist Banke, jamac, zalog na polici životnog osiguranja korisnika kredita s otkupnom vrijednosti u visini 15% od iznosa kredita uz vinkulaciju police osiguranja u korist Banke.</w:t>
            </w:r>
            <w:r w:rsidRPr="004A613B">
              <w:rPr>
                <w:rFonts w:ascii="Arial" w:eastAsiaTheme="minorHAnsi" w:hAnsi="Arial" w:cs="Arial"/>
                <w:color w:val="000000" w:themeColor="text1"/>
                <w:sz w:val="18"/>
                <w:szCs w:val="18"/>
                <w:lang w:eastAsia="en-US"/>
              </w:rPr>
              <w:t xml:space="preserve"> </w:t>
            </w:r>
            <w:r w:rsidR="000504B6" w:rsidRPr="004A613B">
              <w:rPr>
                <w:rFonts w:ascii="Arial" w:hAnsi="Arial" w:cs="Arial"/>
                <w:color w:val="000000" w:themeColor="text1"/>
                <w:sz w:val="18"/>
                <w:szCs w:val="18"/>
              </w:rPr>
              <w:t>Za sve kredite preko 1</w:t>
            </w:r>
            <w:r w:rsidR="008B50B6" w:rsidRPr="004A613B">
              <w:rPr>
                <w:rFonts w:ascii="Arial" w:hAnsi="Arial" w:cs="Arial"/>
                <w:color w:val="000000" w:themeColor="text1"/>
                <w:sz w:val="18"/>
                <w:szCs w:val="18"/>
              </w:rPr>
              <w:t>0</w:t>
            </w:r>
            <w:r w:rsidR="000504B6" w:rsidRPr="004A613B">
              <w:rPr>
                <w:rFonts w:ascii="Arial" w:hAnsi="Arial" w:cs="Arial"/>
                <w:color w:val="000000" w:themeColor="text1"/>
                <w:sz w:val="18"/>
                <w:szCs w:val="18"/>
              </w:rPr>
              <w:t xml:space="preserve"> godina, neovisno o iznosu, obavezan je zalog na nekretnini.</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632767" w:rsidRPr="004A613B" w:rsidRDefault="00632767" w:rsidP="000B2E2A">
            <w:pPr>
              <w:rPr>
                <w:rFonts w:ascii="Arial" w:hAnsi="Arial" w:cs="Arial"/>
                <w:color w:val="000000" w:themeColor="text1"/>
                <w:sz w:val="18"/>
                <w:szCs w:val="18"/>
              </w:rPr>
            </w:pPr>
            <w:r w:rsidRPr="004A613B">
              <w:rPr>
                <w:rFonts w:ascii="Arial" w:hAnsi="Arial" w:cs="Arial"/>
                <w:color w:val="000000" w:themeColor="text1"/>
                <w:sz w:val="18"/>
                <w:szCs w:val="18"/>
              </w:rPr>
              <w:t>Ostale informacije o instrumentima osiguranja</w:t>
            </w:r>
          </w:p>
        </w:tc>
        <w:tc>
          <w:tcPr>
            <w:tcW w:w="8228" w:type="dxa"/>
            <w:tcBorders>
              <w:top w:val="single" w:sz="4" w:space="0" w:color="000000"/>
              <w:left w:val="single" w:sz="4" w:space="0" w:color="000000"/>
              <w:bottom w:val="single" w:sz="4" w:space="0" w:color="000000"/>
              <w:right w:val="single" w:sz="4" w:space="0" w:color="000000"/>
            </w:tcBorders>
          </w:tcPr>
          <w:p w:rsidR="00632767" w:rsidRPr="004A613B" w:rsidRDefault="009E1FEF" w:rsidP="008809C7">
            <w:pPr>
              <w:rPr>
                <w:rFonts w:ascii="Arial" w:hAnsi="Arial" w:cs="Arial"/>
                <w:color w:val="000000" w:themeColor="text1"/>
                <w:sz w:val="18"/>
                <w:szCs w:val="18"/>
              </w:rPr>
            </w:pPr>
            <w:r w:rsidRPr="004A613B">
              <w:rPr>
                <w:rFonts w:ascii="Arial" w:hAnsi="Arial" w:cs="Arial"/>
                <w:color w:val="000000" w:themeColor="text1"/>
                <w:sz w:val="18"/>
                <w:szCs w:val="18"/>
              </w:rPr>
              <w:t xml:space="preserve">Banka je obavezna prihvatiti </w:t>
            </w:r>
            <w:r w:rsidR="008809C7" w:rsidRPr="004A613B">
              <w:rPr>
                <w:rFonts w:ascii="Arial" w:hAnsi="Arial" w:cs="Arial"/>
                <w:color w:val="000000" w:themeColor="text1"/>
                <w:sz w:val="18"/>
                <w:szCs w:val="18"/>
              </w:rPr>
              <w:t xml:space="preserve">svaku </w:t>
            </w:r>
            <w:r w:rsidRPr="004A613B">
              <w:rPr>
                <w:rFonts w:ascii="Arial" w:hAnsi="Arial" w:cs="Arial"/>
                <w:color w:val="000000" w:themeColor="text1"/>
                <w:sz w:val="18"/>
                <w:szCs w:val="18"/>
              </w:rPr>
              <w:t xml:space="preserve">policu osiguranja koja ispunjava uvjete </w:t>
            </w:r>
            <w:r w:rsidR="008809C7" w:rsidRPr="004A613B">
              <w:rPr>
                <w:rFonts w:ascii="Arial" w:hAnsi="Arial" w:cs="Arial"/>
                <w:color w:val="000000" w:themeColor="text1"/>
                <w:sz w:val="18"/>
                <w:szCs w:val="18"/>
              </w:rPr>
              <w:t>propisane za pojedini proizvod</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0B2E2A">
            <w:pPr>
              <w:rPr>
                <w:rFonts w:ascii="Arial" w:hAnsi="Arial" w:cs="Arial"/>
                <w:color w:val="000000" w:themeColor="text1"/>
                <w:sz w:val="18"/>
                <w:szCs w:val="18"/>
              </w:rPr>
            </w:pPr>
            <w:r w:rsidRPr="004A613B">
              <w:rPr>
                <w:rFonts w:ascii="Arial" w:hAnsi="Arial" w:cs="Arial"/>
                <w:color w:val="000000" w:themeColor="text1"/>
                <w:sz w:val="18"/>
                <w:szCs w:val="18"/>
              </w:rPr>
              <w:t>Isplata kredita</w:t>
            </w:r>
          </w:p>
        </w:tc>
        <w:tc>
          <w:tcPr>
            <w:tcW w:w="8228" w:type="dxa"/>
            <w:tcBorders>
              <w:top w:val="single" w:sz="4" w:space="0" w:color="000000"/>
              <w:left w:val="single" w:sz="4" w:space="0" w:color="000000"/>
              <w:bottom w:val="single" w:sz="4" w:space="0" w:color="000000"/>
              <w:right w:val="single" w:sz="4" w:space="0" w:color="000000"/>
            </w:tcBorders>
          </w:tcPr>
          <w:p w:rsidR="00EB5CB5" w:rsidRPr="004A613B" w:rsidRDefault="007B0EFE" w:rsidP="007B0EFE">
            <w:pPr>
              <w:rPr>
                <w:rFonts w:ascii="Arial" w:hAnsi="Arial" w:cs="Arial"/>
                <w:color w:val="000000" w:themeColor="text1"/>
                <w:sz w:val="18"/>
                <w:szCs w:val="18"/>
              </w:rPr>
            </w:pPr>
            <w:r w:rsidRPr="004A613B">
              <w:rPr>
                <w:rFonts w:ascii="Arial" w:hAnsi="Arial" w:cs="Arial"/>
                <w:color w:val="000000" w:themeColor="text1"/>
                <w:sz w:val="18"/>
                <w:szCs w:val="18"/>
              </w:rPr>
              <w:t xml:space="preserve">Prijenos sredstava iz kredita na račune koji se podmiruju u drugim bankama, </w:t>
            </w:r>
            <w:proofErr w:type="spellStart"/>
            <w:r w:rsidRPr="004A613B">
              <w:rPr>
                <w:rFonts w:ascii="Arial" w:hAnsi="Arial" w:cs="Arial"/>
                <w:color w:val="000000" w:themeColor="text1"/>
                <w:sz w:val="18"/>
                <w:szCs w:val="18"/>
              </w:rPr>
              <w:t>leasing</w:t>
            </w:r>
            <w:proofErr w:type="spellEnd"/>
            <w:r w:rsidRPr="004A613B">
              <w:rPr>
                <w:rFonts w:ascii="Arial" w:hAnsi="Arial" w:cs="Arial"/>
                <w:color w:val="000000" w:themeColor="text1"/>
                <w:sz w:val="18"/>
                <w:szCs w:val="18"/>
              </w:rPr>
              <w:t xml:space="preserve"> kućama i sl.</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0B2E2A">
            <w:pPr>
              <w:rPr>
                <w:rFonts w:ascii="Arial" w:hAnsi="Arial" w:cs="Arial"/>
                <w:color w:val="000000" w:themeColor="text1"/>
                <w:sz w:val="18"/>
                <w:szCs w:val="18"/>
              </w:rPr>
            </w:pPr>
            <w:r w:rsidRPr="004A613B">
              <w:rPr>
                <w:rFonts w:ascii="Arial" w:hAnsi="Arial" w:cs="Arial"/>
                <w:color w:val="000000" w:themeColor="text1"/>
                <w:sz w:val="18"/>
                <w:szCs w:val="18"/>
              </w:rPr>
              <w:t>Način otplate kredita</w:t>
            </w:r>
          </w:p>
        </w:tc>
        <w:tc>
          <w:tcPr>
            <w:tcW w:w="8228" w:type="dxa"/>
            <w:tcBorders>
              <w:top w:val="single" w:sz="4" w:space="0" w:color="000000"/>
              <w:left w:val="single" w:sz="4" w:space="0" w:color="000000"/>
              <w:bottom w:val="single" w:sz="4" w:space="0" w:color="000000"/>
              <w:right w:val="single" w:sz="4" w:space="0" w:color="000000"/>
            </w:tcBorders>
          </w:tcPr>
          <w:p w:rsidR="00EB5CB5" w:rsidRPr="004A613B" w:rsidRDefault="009E1FEF" w:rsidP="009E1FEF">
            <w:pPr>
              <w:rPr>
                <w:rFonts w:ascii="Arial" w:hAnsi="Arial" w:cs="Arial"/>
                <w:color w:val="000000" w:themeColor="text1"/>
                <w:sz w:val="18"/>
                <w:szCs w:val="18"/>
              </w:rPr>
            </w:pPr>
            <w:r w:rsidRPr="004A613B">
              <w:rPr>
                <w:rFonts w:ascii="Arial" w:hAnsi="Arial" w:cs="Arial"/>
                <w:color w:val="000000" w:themeColor="text1"/>
                <w:sz w:val="18"/>
                <w:szCs w:val="18"/>
              </w:rPr>
              <w:t>Otplata kredita u anuitetima</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3D2407" w:rsidRPr="004A613B" w:rsidRDefault="003D2407" w:rsidP="00F07014">
            <w:pPr>
              <w:rPr>
                <w:rFonts w:ascii="Arial" w:hAnsi="Arial" w:cs="Arial"/>
                <w:color w:val="000000" w:themeColor="text1"/>
                <w:sz w:val="18"/>
                <w:szCs w:val="18"/>
              </w:rPr>
            </w:pPr>
            <w:r w:rsidRPr="004A613B">
              <w:rPr>
                <w:rFonts w:ascii="Arial" w:hAnsi="Arial" w:cs="Arial"/>
                <w:color w:val="000000" w:themeColor="text1"/>
                <w:sz w:val="18"/>
                <w:szCs w:val="18"/>
              </w:rPr>
              <w:t>Naknada za obradu kredita</w:t>
            </w:r>
          </w:p>
        </w:tc>
        <w:tc>
          <w:tcPr>
            <w:tcW w:w="8228" w:type="dxa"/>
            <w:tcBorders>
              <w:top w:val="single" w:sz="4" w:space="0" w:color="000000"/>
              <w:left w:val="single" w:sz="4" w:space="0" w:color="000000"/>
              <w:bottom w:val="single" w:sz="4" w:space="0" w:color="000000"/>
              <w:right w:val="single" w:sz="4" w:space="0" w:color="000000"/>
            </w:tcBorders>
          </w:tcPr>
          <w:p w:rsidR="002F3385" w:rsidRPr="004A613B" w:rsidRDefault="002F3385" w:rsidP="002F3385">
            <w:pPr>
              <w:adjustRightInd w:val="0"/>
              <w:jc w:val="left"/>
              <w:rPr>
                <w:rFonts w:ascii="Arial" w:hAnsi="Arial" w:cs="Arial"/>
                <w:color w:val="000000" w:themeColor="text1"/>
                <w:sz w:val="18"/>
                <w:szCs w:val="18"/>
              </w:rPr>
            </w:pPr>
            <w:r w:rsidRPr="004A613B">
              <w:rPr>
                <w:rFonts w:ascii="Arial" w:hAnsi="Arial" w:cs="Arial"/>
                <w:color w:val="000000" w:themeColor="text1"/>
                <w:sz w:val="18"/>
                <w:szCs w:val="18"/>
              </w:rPr>
              <w:t>- bez naknade, ukoliko je kredit pokriven zalogom na nekretnini ili</w:t>
            </w:r>
          </w:p>
          <w:p w:rsidR="003D2407" w:rsidRPr="004A613B" w:rsidRDefault="002F3385" w:rsidP="002F3385">
            <w:pPr>
              <w:adjustRightInd w:val="0"/>
              <w:jc w:val="left"/>
              <w:rPr>
                <w:rFonts w:ascii="Arial" w:hAnsi="Arial" w:cs="Arial"/>
                <w:color w:val="000000" w:themeColor="text1"/>
                <w:sz w:val="18"/>
                <w:szCs w:val="18"/>
              </w:rPr>
            </w:pPr>
            <w:r w:rsidRPr="004A613B">
              <w:rPr>
                <w:rFonts w:ascii="Arial" w:hAnsi="Arial" w:cs="Arial"/>
                <w:color w:val="000000" w:themeColor="text1"/>
                <w:sz w:val="18"/>
                <w:szCs w:val="18"/>
              </w:rPr>
              <w:t xml:space="preserve">- 0,5%, ukoliko je kredit pokriven drugim instrumentima osiguranja (osim zaloga na nekretnini), min </w:t>
            </w:r>
            <w:r w:rsidR="004A2FE4">
              <w:rPr>
                <w:rFonts w:ascii="Arial" w:hAnsi="Arial" w:cs="Arial"/>
                <w:color w:val="000000" w:themeColor="text1"/>
                <w:sz w:val="18"/>
                <w:szCs w:val="18"/>
              </w:rPr>
              <w:t>39,82 eura/</w:t>
            </w:r>
            <w:r w:rsidRPr="004A613B">
              <w:rPr>
                <w:rFonts w:ascii="Arial" w:hAnsi="Arial" w:cs="Arial"/>
                <w:color w:val="000000" w:themeColor="text1"/>
                <w:sz w:val="18"/>
                <w:szCs w:val="18"/>
              </w:rPr>
              <w:t>300,00 kn</w:t>
            </w:r>
            <w:r w:rsidR="004A2FE4">
              <w:rPr>
                <w:rFonts w:ascii="Arial" w:hAnsi="Arial" w:cs="Arial"/>
                <w:color w:val="000000" w:themeColor="text1"/>
                <w:sz w:val="18"/>
                <w:szCs w:val="18"/>
              </w:rPr>
              <w:t xml:space="preserve"> a</w:t>
            </w:r>
            <w:r w:rsidRPr="004A613B">
              <w:rPr>
                <w:rFonts w:ascii="Arial" w:hAnsi="Arial" w:cs="Arial"/>
                <w:color w:val="000000" w:themeColor="text1"/>
                <w:sz w:val="18"/>
                <w:szCs w:val="18"/>
              </w:rPr>
              <w:t xml:space="preserve"> </w:t>
            </w:r>
            <w:proofErr w:type="spellStart"/>
            <w:r w:rsidRPr="004A613B">
              <w:rPr>
                <w:rFonts w:ascii="Arial" w:hAnsi="Arial" w:cs="Arial"/>
                <w:color w:val="000000" w:themeColor="text1"/>
                <w:sz w:val="18"/>
                <w:szCs w:val="18"/>
              </w:rPr>
              <w:t>max</w:t>
            </w:r>
            <w:proofErr w:type="spellEnd"/>
            <w:r w:rsidRPr="004A613B">
              <w:rPr>
                <w:rFonts w:ascii="Arial" w:hAnsi="Arial" w:cs="Arial"/>
                <w:color w:val="000000" w:themeColor="text1"/>
                <w:sz w:val="18"/>
                <w:szCs w:val="18"/>
              </w:rPr>
              <w:t xml:space="preserve"> </w:t>
            </w:r>
            <w:r w:rsidR="004A2FE4">
              <w:rPr>
                <w:rFonts w:ascii="Arial" w:hAnsi="Arial" w:cs="Arial"/>
                <w:color w:val="000000" w:themeColor="text1"/>
                <w:sz w:val="18"/>
                <w:szCs w:val="18"/>
              </w:rPr>
              <w:t>199,08 eura/</w:t>
            </w:r>
            <w:r w:rsidRPr="004A613B">
              <w:rPr>
                <w:rFonts w:ascii="Arial" w:hAnsi="Arial" w:cs="Arial"/>
                <w:color w:val="000000" w:themeColor="text1"/>
                <w:sz w:val="18"/>
                <w:szCs w:val="18"/>
              </w:rPr>
              <w:t>1.500,00 kn</w:t>
            </w:r>
            <w:r w:rsidR="004A2FE4">
              <w:rPr>
                <w:rFonts w:ascii="Arial" w:hAnsi="Arial" w:cs="Arial"/>
                <w:color w:val="000000" w:themeColor="text1"/>
                <w:sz w:val="18"/>
                <w:szCs w:val="18"/>
              </w:rPr>
              <w:t>.</w:t>
            </w:r>
            <w:r w:rsidR="004A2FE4">
              <w:t xml:space="preserve"> </w:t>
            </w:r>
            <w:r w:rsidR="004A2FE4" w:rsidRPr="004A2FE4">
              <w:rPr>
                <w:rFonts w:ascii="Arial" w:hAnsi="Arial" w:cs="Arial"/>
                <w:color w:val="000000" w:themeColor="text1"/>
                <w:sz w:val="18"/>
                <w:szCs w:val="18"/>
              </w:rPr>
              <w:t xml:space="preserve">Fiksni tečaj </w:t>
            </w:r>
            <w:proofErr w:type="spellStart"/>
            <w:r w:rsidR="004A2FE4" w:rsidRPr="004A2FE4">
              <w:rPr>
                <w:rFonts w:ascii="Arial" w:hAnsi="Arial" w:cs="Arial"/>
                <w:color w:val="000000" w:themeColor="text1"/>
                <w:sz w:val="18"/>
                <w:szCs w:val="18"/>
              </w:rPr>
              <w:t>konvezije</w:t>
            </w:r>
            <w:proofErr w:type="spellEnd"/>
            <w:r w:rsidR="004A2FE4" w:rsidRPr="004A2FE4">
              <w:rPr>
                <w:rFonts w:ascii="Arial" w:hAnsi="Arial" w:cs="Arial"/>
                <w:color w:val="000000" w:themeColor="text1"/>
                <w:sz w:val="18"/>
                <w:szCs w:val="18"/>
              </w:rPr>
              <w:t xml:space="preserve"> kune, kojeg je odredilo vijeće Europske unije, iznosi 1 euro = 7,53450 kuna.</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CA53D4">
            <w:pPr>
              <w:rPr>
                <w:rFonts w:ascii="Arial" w:hAnsi="Arial" w:cs="Arial"/>
                <w:color w:val="000000" w:themeColor="text1"/>
                <w:sz w:val="18"/>
                <w:szCs w:val="18"/>
              </w:rPr>
            </w:pPr>
            <w:r w:rsidRPr="004A613B">
              <w:rPr>
                <w:rFonts w:ascii="Arial" w:hAnsi="Arial" w:cs="Arial"/>
                <w:color w:val="000000" w:themeColor="text1"/>
                <w:sz w:val="18"/>
                <w:szCs w:val="18"/>
              </w:rPr>
              <w:lastRenderedPageBreak/>
              <w:t>Prijevremena otplata kredita</w:t>
            </w:r>
          </w:p>
        </w:tc>
        <w:tc>
          <w:tcPr>
            <w:tcW w:w="8228" w:type="dxa"/>
            <w:tcBorders>
              <w:top w:val="single" w:sz="4" w:space="0" w:color="000000"/>
              <w:left w:val="single" w:sz="4" w:space="0" w:color="000000"/>
              <w:bottom w:val="single" w:sz="4" w:space="0" w:color="000000"/>
              <w:right w:val="single" w:sz="4" w:space="0" w:color="000000"/>
            </w:tcBorders>
          </w:tcPr>
          <w:p w:rsidR="00EB5CB5" w:rsidRPr="004A613B" w:rsidRDefault="00EB5CB5" w:rsidP="00EB5CB5">
            <w:pPr>
              <w:rPr>
                <w:rFonts w:ascii="Arial" w:hAnsi="Arial" w:cs="Arial"/>
                <w:color w:val="000000" w:themeColor="text1"/>
                <w:sz w:val="18"/>
                <w:szCs w:val="18"/>
              </w:rPr>
            </w:pPr>
            <w:r w:rsidRPr="004A613B">
              <w:rPr>
                <w:rFonts w:ascii="Arial" w:hAnsi="Arial" w:cs="Arial"/>
                <w:color w:val="000000" w:themeColor="text1"/>
                <w:sz w:val="18"/>
                <w:szCs w:val="18"/>
              </w:rPr>
              <w:t>Da, u bilo kojem trenutku, bez naknade.</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0B2E2A">
            <w:pPr>
              <w:rPr>
                <w:rFonts w:ascii="Arial" w:hAnsi="Arial" w:cs="Arial"/>
                <w:color w:val="000000" w:themeColor="text1"/>
                <w:sz w:val="18"/>
                <w:szCs w:val="18"/>
              </w:rPr>
            </w:pPr>
            <w:r w:rsidRPr="004A613B">
              <w:rPr>
                <w:rFonts w:ascii="Arial" w:hAnsi="Arial" w:cs="Arial"/>
                <w:color w:val="000000" w:themeColor="text1"/>
                <w:sz w:val="18"/>
                <w:szCs w:val="18"/>
              </w:rPr>
              <w:t>Zatezna kamata</w:t>
            </w:r>
          </w:p>
        </w:tc>
        <w:tc>
          <w:tcPr>
            <w:tcW w:w="8228" w:type="dxa"/>
            <w:tcBorders>
              <w:top w:val="single" w:sz="4" w:space="0" w:color="000000"/>
              <w:left w:val="single" w:sz="4" w:space="0" w:color="000000"/>
              <w:bottom w:val="single" w:sz="4" w:space="0" w:color="000000"/>
              <w:right w:val="single" w:sz="4" w:space="0" w:color="000000"/>
            </w:tcBorders>
          </w:tcPr>
          <w:p w:rsidR="00EB5CB5" w:rsidRPr="004A613B" w:rsidRDefault="007B0EFE" w:rsidP="00F275FE">
            <w:pPr>
              <w:rPr>
                <w:rFonts w:ascii="Arial" w:hAnsi="Arial" w:cs="Arial"/>
                <w:color w:val="000000" w:themeColor="text1"/>
                <w:sz w:val="18"/>
                <w:szCs w:val="18"/>
              </w:rPr>
            </w:pPr>
            <w:r w:rsidRPr="004A613B">
              <w:rPr>
                <w:rFonts w:ascii="Arial" w:hAnsi="Arial" w:cs="Arial"/>
                <w:color w:val="000000" w:themeColor="text1"/>
                <w:sz w:val="18"/>
                <w:szCs w:val="18"/>
              </w:rPr>
              <w:t>U visini zakonske zatezne kamate koja je promjenjiva u skladu s propisima, i koja na dan izrade o</w:t>
            </w:r>
            <w:r w:rsidR="00684DD9" w:rsidRPr="004A613B">
              <w:rPr>
                <w:rFonts w:ascii="Arial" w:hAnsi="Arial" w:cs="Arial"/>
                <w:color w:val="000000" w:themeColor="text1"/>
                <w:sz w:val="18"/>
                <w:szCs w:val="18"/>
              </w:rPr>
              <w:t xml:space="preserve">vih Općih informacija </w:t>
            </w:r>
            <w:r w:rsidR="00684DD9" w:rsidRPr="008E5F02">
              <w:rPr>
                <w:rFonts w:ascii="Arial" w:hAnsi="Arial" w:cs="Arial"/>
                <w:color w:val="000000" w:themeColor="text1"/>
                <w:sz w:val="18"/>
                <w:szCs w:val="18"/>
              </w:rPr>
              <w:t xml:space="preserve">iznosi </w:t>
            </w:r>
            <w:r w:rsidR="00974CDB" w:rsidRPr="008E5F02">
              <w:rPr>
                <w:rFonts w:ascii="Arial" w:hAnsi="Arial" w:cs="Arial"/>
                <w:color w:val="000000" w:themeColor="text1"/>
                <w:sz w:val="18"/>
                <w:szCs w:val="18"/>
              </w:rPr>
              <w:t>5,</w:t>
            </w:r>
            <w:r w:rsidR="003D1DA2">
              <w:rPr>
                <w:rFonts w:ascii="Arial" w:hAnsi="Arial" w:cs="Arial"/>
                <w:color w:val="000000" w:themeColor="text1"/>
                <w:sz w:val="18"/>
                <w:szCs w:val="18"/>
              </w:rPr>
              <w:t>50</w:t>
            </w:r>
            <w:r w:rsidRPr="008E5F02">
              <w:rPr>
                <w:rFonts w:ascii="Arial" w:hAnsi="Arial" w:cs="Arial"/>
                <w:color w:val="000000" w:themeColor="text1"/>
                <w:sz w:val="18"/>
                <w:szCs w:val="18"/>
              </w:rPr>
              <w:t>% godišnje</w:t>
            </w:r>
            <w:r w:rsidRPr="004A613B">
              <w:rPr>
                <w:rFonts w:ascii="Arial" w:hAnsi="Arial" w:cs="Arial"/>
                <w:color w:val="000000" w:themeColor="text1"/>
                <w:sz w:val="18"/>
                <w:szCs w:val="18"/>
              </w:rPr>
              <w:t xml:space="preserve">. </w:t>
            </w:r>
            <w:r w:rsidR="00DF05BB" w:rsidRPr="00DF05BB">
              <w:rPr>
                <w:rFonts w:ascii="Arial" w:hAnsi="Arial" w:cs="Arial"/>
                <w:color w:val="000000" w:themeColor="text1"/>
                <w:sz w:val="18"/>
                <w:szCs w:val="18"/>
              </w:rPr>
              <w:t xml:space="preserve">Zakonska zatezna kamata, koja je promjenjiva u skladu s propisima se određuje za svako polugodište, uvećanjem kamatne stope Europske središnje banke koju je Europska središnja banka primijenila na svoje posljednje glavne operacije refinanciranja a koje je obavila prije prvog kalendarskog dana tekućeg polugodišta </w:t>
            </w:r>
            <w:r w:rsidR="006618B1">
              <w:rPr>
                <w:rFonts w:ascii="Arial" w:hAnsi="Arial" w:cs="Arial"/>
                <w:color w:val="000000" w:themeColor="text1"/>
                <w:sz w:val="18"/>
                <w:szCs w:val="18"/>
              </w:rPr>
              <w:t>za tri postotna boda</w:t>
            </w:r>
            <w:bookmarkStart w:id="0" w:name="_GoBack"/>
            <w:bookmarkEnd w:id="0"/>
            <w:r w:rsidR="00DF05BB" w:rsidRPr="00DF05BB">
              <w:rPr>
                <w:rFonts w:ascii="Arial" w:hAnsi="Arial" w:cs="Arial"/>
                <w:color w:val="000000" w:themeColor="text1"/>
                <w:sz w:val="18"/>
                <w:szCs w:val="18"/>
              </w:rPr>
              <w:t>. Parametri promjene maksimalne visine zatezne kamatne stope definirani su zakonskim propisima. Kamatnu stopu Europske središnje banke objavljuje Hrvatska narodna banka svakog 1. siječnja i 1. srpnja u Narodnim novinama. Parametri promjene maksimalne visine zatezne kamatne stope definirani su zakonskim propisima. Kamatnu stopu Europske središnje banke objavljuje Hrvatska narodna banka svakog 1. siječnja i 1. srpnja u Narodnim novinama</w:t>
            </w:r>
            <w:r w:rsidRPr="004A613B">
              <w:rPr>
                <w:rFonts w:ascii="Arial" w:hAnsi="Arial" w:cs="Arial"/>
                <w:color w:val="000000" w:themeColor="text1"/>
                <w:sz w:val="18"/>
                <w:szCs w:val="18"/>
              </w:rPr>
              <w:t>.</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FF5135">
            <w:pPr>
              <w:jc w:val="left"/>
              <w:rPr>
                <w:rFonts w:ascii="Arial" w:hAnsi="Arial" w:cs="Arial"/>
                <w:color w:val="000000" w:themeColor="text1"/>
                <w:sz w:val="18"/>
                <w:szCs w:val="18"/>
              </w:rPr>
            </w:pPr>
            <w:r w:rsidRPr="004A613B">
              <w:rPr>
                <w:rFonts w:ascii="Arial" w:hAnsi="Arial" w:cs="Arial"/>
                <w:color w:val="000000" w:themeColor="text1"/>
                <w:sz w:val="18"/>
                <w:szCs w:val="18"/>
              </w:rPr>
              <w:t>Ostale naknade koje proizlaze iz ugovora o kreditu</w:t>
            </w:r>
          </w:p>
        </w:tc>
        <w:tc>
          <w:tcPr>
            <w:tcW w:w="8228" w:type="dxa"/>
            <w:tcBorders>
              <w:top w:val="single" w:sz="4" w:space="0" w:color="000000"/>
              <w:left w:val="single" w:sz="4" w:space="0" w:color="000000"/>
              <w:bottom w:val="single" w:sz="4" w:space="0" w:color="000000"/>
              <w:right w:val="single" w:sz="4" w:space="0" w:color="000000"/>
            </w:tcBorders>
          </w:tcPr>
          <w:p w:rsidR="00EB5CB5" w:rsidRPr="004A613B" w:rsidRDefault="009E1FEF" w:rsidP="00E738E1">
            <w:pPr>
              <w:rPr>
                <w:rFonts w:ascii="Arial" w:hAnsi="Arial" w:cs="Arial"/>
                <w:color w:val="000000" w:themeColor="text1"/>
                <w:sz w:val="18"/>
                <w:szCs w:val="18"/>
              </w:rPr>
            </w:pPr>
            <w:r w:rsidRPr="004A613B">
              <w:rPr>
                <w:rFonts w:ascii="Arial" w:hAnsi="Arial" w:cs="Arial"/>
                <w:color w:val="000000" w:themeColor="text1"/>
                <w:sz w:val="18"/>
                <w:szCs w:val="18"/>
              </w:rPr>
              <w:t>Naplaćuju se sukladno Odluci o tarifi naknada.</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FF5135">
            <w:pPr>
              <w:jc w:val="left"/>
              <w:rPr>
                <w:rFonts w:ascii="Arial" w:hAnsi="Arial" w:cs="Arial"/>
                <w:color w:val="000000" w:themeColor="text1"/>
                <w:sz w:val="18"/>
                <w:szCs w:val="18"/>
              </w:rPr>
            </w:pPr>
            <w:r w:rsidRPr="004A613B">
              <w:rPr>
                <w:rFonts w:ascii="Arial" w:hAnsi="Arial" w:cs="Arial"/>
                <w:color w:val="000000" w:themeColor="text1"/>
                <w:sz w:val="18"/>
                <w:szCs w:val="18"/>
              </w:rPr>
              <w:t>Ostali troškovi</w:t>
            </w:r>
          </w:p>
        </w:tc>
        <w:tc>
          <w:tcPr>
            <w:tcW w:w="8228" w:type="dxa"/>
            <w:tcBorders>
              <w:top w:val="single" w:sz="4" w:space="0" w:color="000000"/>
              <w:left w:val="single" w:sz="4" w:space="0" w:color="000000"/>
              <w:bottom w:val="single" w:sz="4" w:space="0" w:color="000000"/>
              <w:right w:val="single" w:sz="4" w:space="0" w:color="000000"/>
            </w:tcBorders>
          </w:tcPr>
          <w:p w:rsidR="00A63DB0" w:rsidRPr="004A613B" w:rsidRDefault="005F5923" w:rsidP="00004FDF">
            <w:pPr>
              <w:rPr>
                <w:rFonts w:ascii="Arial" w:hAnsi="Arial" w:cs="Arial"/>
                <w:color w:val="000000" w:themeColor="text1"/>
                <w:sz w:val="18"/>
                <w:szCs w:val="18"/>
              </w:rPr>
            </w:pPr>
            <w:r w:rsidRPr="004A613B">
              <w:rPr>
                <w:rFonts w:ascii="Arial" w:hAnsi="Arial" w:cs="Arial"/>
                <w:color w:val="000000" w:themeColor="text1"/>
                <w:sz w:val="18"/>
                <w:szCs w:val="18"/>
              </w:rPr>
              <w:t xml:space="preserve">Ovisno o instrumentima osiguranja, Klijent snosi troškove javnog bilježnika sukladno javnobilježničkoj tarifi te trošak ovjere i/ili </w:t>
            </w:r>
            <w:proofErr w:type="spellStart"/>
            <w:r w:rsidRPr="004A613B">
              <w:rPr>
                <w:rFonts w:ascii="Arial" w:hAnsi="Arial" w:cs="Arial"/>
                <w:color w:val="000000" w:themeColor="text1"/>
                <w:sz w:val="18"/>
                <w:szCs w:val="18"/>
              </w:rPr>
              <w:t>solemnizacije</w:t>
            </w:r>
            <w:proofErr w:type="spellEnd"/>
            <w:r w:rsidRPr="004A613B">
              <w:rPr>
                <w:rFonts w:ascii="Arial" w:hAnsi="Arial" w:cs="Arial"/>
                <w:color w:val="000000" w:themeColor="text1"/>
                <w:sz w:val="18"/>
                <w:szCs w:val="18"/>
              </w:rPr>
              <w:t xml:space="preserve"> (potvrde) Ugovora o kreditu i </w:t>
            </w:r>
            <w:proofErr w:type="spellStart"/>
            <w:r w:rsidRPr="004A613B">
              <w:rPr>
                <w:rFonts w:ascii="Arial" w:hAnsi="Arial" w:cs="Arial"/>
                <w:color w:val="000000" w:themeColor="text1"/>
                <w:sz w:val="18"/>
                <w:szCs w:val="18"/>
              </w:rPr>
              <w:t>solemnizacije</w:t>
            </w:r>
            <w:proofErr w:type="spellEnd"/>
            <w:r w:rsidRPr="004A613B">
              <w:rPr>
                <w:rFonts w:ascii="Arial" w:hAnsi="Arial" w:cs="Arial"/>
                <w:color w:val="000000" w:themeColor="text1"/>
                <w:sz w:val="18"/>
                <w:szCs w:val="18"/>
              </w:rPr>
              <w:t xml:space="preserve"> Izjave o zapljeni po pristanku dužnika i zadužnice.</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FF5135">
            <w:pPr>
              <w:jc w:val="left"/>
              <w:rPr>
                <w:rFonts w:ascii="Arial" w:hAnsi="Arial" w:cs="Arial"/>
                <w:color w:val="000000" w:themeColor="text1"/>
                <w:sz w:val="18"/>
                <w:szCs w:val="18"/>
              </w:rPr>
            </w:pPr>
            <w:r w:rsidRPr="004A613B">
              <w:rPr>
                <w:rFonts w:ascii="Arial" w:hAnsi="Arial" w:cs="Arial"/>
                <w:color w:val="000000" w:themeColor="text1"/>
                <w:sz w:val="18"/>
                <w:szCs w:val="18"/>
              </w:rPr>
              <w:t>Procjena vrijednosti nekretnine</w:t>
            </w:r>
          </w:p>
        </w:tc>
        <w:tc>
          <w:tcPr>
            <w:tcW w:w="8228" w:type="dxa"/>
            <w:tcBorders>
              <w:top w:val="single" w:sz="4" w:space="0" w:color="000000"/>
              <w:left w:val="single" w:sz="4" w:space="0" w:color="000000"/>
              <w:bottom w:val="single" w:sz="4" w:space="0" w:color="000000"/>
              <w:right w:val="single" w:sz="4" w:space="0" w:color="000000"/>
            </w:tcBorders>
          </w:tcPr>
          <w:p w:rsidR="00EB5CB5" w:rsidRPr="004A613B" w:rsidRDefault="00CC2312" w:rsidP="00CC2312">
            <w:pPr>
              <w:rPr>
                <w:rFonts w:ascii="Arial" w:hAnsi="Arial" w:cs="Arial"/>
                <w:color w:val="000000" w:themeColor="text1"/>
                <w:sz w:val="18"/>
                <w:szCs w:val="18"/>
              </w:rPr>
            </w:pPr>
            <w:r w:rsidRPr="004A613B">
              <w:rPr>
                <w:rFonts w:ascii="Arial" w:hAnsi="Arial" w:cs="Arial"/>
                <w:color w:val="000000" w:themeColor="text1"/>
                <w:sz w:val="18"/>
                <w:szCs w:val="18"/>
              </w:rPr>
              <w:t>P</w:t>
            </w:r>
            <w:r w:rsidR="009E1FEF" w:rsidRPr="004A613B">
              <w:rPr>
                <w:rFonts w:ascii="Arial" w:hAnsi="Arial" w:cs="Arial"/>
                <w:color w:val="000000" w:themeColor="text1"/>
                <w:sz w:val="18"/>
                <w:szCs w:val="18"/>
              </w:rPr>
              <w:t>rocjena vrijednosti nekretnine od strane ovlaštenog procjenitelja Banke</w:t>
            </w:r>
            <w:r w:rsidRPr="004A613B">
              <w:rPr>
                <w:rFonts w:ascii="Arial" w:hAnsi="Arial" w:cs="Arial"/>
                <w:color w:val="000000" w:themeColor="text1"/>
                <w:sz w:val="18"/>
                <w:szCs w:val="18"/>
              </w:rPr>
              <w:t xml:space="preserve"> je obavezna</w:t>
            </w:r>
            <w:r w:rsidR="00850267" w:rsidRPr="004A613B">
              <w:rPr>
                <w:rFonts w:ascii="Arial" w:hAnsi="Arial" w:cs="Arial"/>
                <w:color w:val="000000" w:themeColor="text1"/>
                <w:sz w:val="18"/>
                <w:szCs w:val="18"/>
              </w:rPr>
              <w:t xml:space="preserve"> kod kredita </w:t>
            </w:r>
            <w:r w:rsidR="00942756" w:rsidRPr="004A613B">
              <w:rPr>
                <w:rFonts w:ascii="Arial" w:hAnsi="Arial" w:cs="Arial"/>
                <w:color w:val="000000" w:themeColor="text1"/>
                <w:sz w:val="18"/>
                <w:szCs w:val="18"/>
              </w:rPr>
              <w:t xml:space="preserve">osiguranim </w:t>
            </w:r>
            <w:r w:rsidR="00850267" w:rsidRPr="004A613B">
              <w:rPr>
                <w:rFonts w:ascii="Arial" w:hAnsi="Arial" w:cs="Arial"/>
                <w:color w:val="000000" w:themeColor="text1"/>
                <w:sz w:val="18"/>
                <w:szCs w:val="18"/>
              </w:rPr>
              <w:t>sa zalogom na nekretninama</w:t>
            </w:r>
            <w:r w:rsidRPr="004A613B">
              <w:rPr>
                <w:rFonts w:ascii="Arial" w:hAnsi="Arial" w:cs="Arial"/>
                <w:color w:val="000000" w:themeColor="text1"/>
                <w:sz w:val="18"/>
                <w:szCs w:val="18"/>
              </w:rPr>
              <w:t>. Trošak procjene snosi Korisnik kredita</w:t>
            </w:r>
            <w:r w:rsidR="009E1FEF" w:rsidRPr="004A613B">
              <w:rPr>
                <w:rFonts w:ascii="Arial" w:hAnsi="Arial" w:cs="Arial"/>
                <w:color w:val="000000" w:themeColor="text1"/>
                <w:sz w:val="18"/>
                <w:szCs w:val="18"/>
              </w:rPr>
              <w:t>.</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FF5135">
            <w:pPr>
              <w:jc w:val="left"/>
              <w:rPr>
                <w:rFonts w:ascii="Arial" w:hAnsi="Arial" w:cs="Arial"/>
                <w:color w:val="000000" w:themeColor="text1"/>
                <w:sz w:val="18"/>
                <w:szCs w:val="18"/>
              </w:rPr>
            </w:pPr>
            <w:r w:rsidRPr="004A613B">
              <w:rPr>
                <w:rFonts w:ascii="Arial" w:hAnsi="Arial" w:cs="Arial"/>
                <w:color w:val="000000" w:themeColor="text1"/>
                <w:sz w:val="18"/>
                <w:szCs w:val="18"/>
              </w:rPr>
              <w:t>Kreditna sposobnost</w:t>
            </w:r>
          </w:p>
        </w:tc>
        <w:tc>
          <w:tcPr>
            <w:tcW w:w="8228" w:type="dxa"/>
            <w:tcBorders>
              <w:top w:val="single" w:sz="4" w:space="0" w:color="000000"/>
              <w:left w:val="single" w:sz="4" w:space="0" w:color="000000"/>
              <w:bottom w:val="single" w:sz="4" w:space="0" w:color="000000"/>
              <w:right w:val="single" w:sz="4" w:space="0" w:color="000000"/>
            </w:tcBorders>
          </w:tcPr>
          <w:p w:rsidR="00EB5CB5" w:rsidRPr="004A613B" w:rsidRDefault="00EB5CB5" w:rsidP="00004FDF">
            <w:pPr>
              <w:rPr>
                <w:rFonts w:ascii="Arial" w:hAnsi="Arial" w:cs="Arial"/>
                <w:color w:val="000000" w:themeColor="text1"/>
                <w:sz w:val="18"/>
                <w:szCs w:val="18"/>
              </w:rPr>
            </w:pPr>
            <w:r w:rsidRPr="004A613B">
              <w:rPr>
                <w:rFonts w:ascii="Arial" w:hAnsi="Arial" w:cs="Arial"/>
                <w:color w:val="000000" w:themeColor="text1"/>
                <w:sz w:val="18"/>
                <w:szCs w:val="18"/>
              </w:rPr>
              <w:t>Kreditna sposobnost utvrđuje se sukladno internim aktima Banke</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8777C6">
            <w:pPr>
              <w:jc w:val="left"/>
              <w:rPr>
                <w:rFonts w:ascii="Arial" w:hAnsi="Arial" w:cs="Arial"/>
                <w:color w:val="000000" w:themeColor="text1"/>
                <w:sz w:val="18"/>
                <w:szCs w:val="18"/>
              </w:rPr>
            </w:pPr>
            <w:r w:rsidRPr="004A613B">
              <w:rPr>
                <w:rFonts w:ascii="Arial" w:hAnsi="Arial" w:cs="Arial"/>
                <w:color w:val="000000" w:themeColor="text1"/>
                <w:sz w:val="18"/>
                <w:szCs w:val="18"/>
              </w:rPr>
              <w:t xml:space="preserve">Pravo na rok za usporedbu ponuda, procjenu njihovih učinaka i donošenje </w:t>
            </w:r>
            <w:r w:rsidR="008777C6" w:rsidRPr="004A613B">
              <w:rPr>
                <w:rFonts w:ascii="Arial" w:hAnsi="Arial" w:cs="Arial"/>
                <w:color w:val="000000" w:themeColor="text1"/>
                <w:sz w:val="18"/>
                <w:szCs w:val="18"/>
              </w:rPr>
              <w:t>od</w:t>
            </w:r>
            <w:r w:rsidRPr="004A613B">
              <w:rPr>
                <w:rFonts w:ascii="Arial" w:hAnsi="Arial" w:cs="Arial"/>
                <w:color w:val="000000" w:themeColor="text1"/>
                <w:sz w:val="18"/>
                <w:szCs w:val="18"/>
              </w:rPr>
              <w:t>luke</w:t>
            </w:r>
          </w:p>
        </w:tc>
        <w:tc>
          <w:tcPr>
            <w:tcW w:w="8228" w:type="dxa"/>
            <w:tcBorders>
              <w:top w:val="single" w:sz="4" w:space="0" w:color="000000"/>
              <w:left w:val="single" w:sz="4" w:space="0" w:color="000000"/>
              <w:bottom w:val="single" w:sz="4" w:space="0" w:color="000000"/>
              <w:right w:val="single" w:sz="4" w:space="0" w:color="000000"/>
            </w:tcBorders>
          </w:tcPr>
          <w:p w:rsidR="00EB5CB5" w:rsidRPr="004A613B" w:rsidRDefault="00EB5CB5" w:rsidP="007B0EFE">
            <w:pPr>
              <w:rPr>
                <w:rFonts w:ascii="Arial" w:hAnsi="Arial" w:cs="Arial"/>
                <w:color w:val="000000" w:themeColor="text1"/>
                <w:sz w:val="18"/>
                <w:szCs w:val="18"/>
              </w:rPr>
            </w:pPr>
            <w:r w:rsidRPr="004A613B">
              <w:rPr>
                <w:rFonts w:ascii="Arial" w:hAnsi="Arial" w:cs="Arial"/>
                <w:color w:val="000000" w:themeColor="text1"/>
                <w:sz w:val="18"/>
                <w:szCs w:val="18"/>
              </w:rPr>
              <w:t>Potrošač ima pravo na 15 dana razmatranja prije sklapanja ugovora o kreditu</w:t>
            </w:r>
            <w:r w:rsidR="008809C7" w:rsidRPr="004A613B">
              <w:rPr>
                <w:rFonts w:ascii="Arial" w:hAnsi="Arial" w:cs="Arial"/>
                <w:color w:val="000000" w:themeColor="text1"/>
                <w:sz w:val="18"/>
                <w:szCs w:val="18"/>
              </w:rPr>
              <w:t>, ako se sklapa zalog na stambenoj nekretnini</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FF5135">
            <w:pPr>
              <w:jc w:val="left"/>
              <w:rPr>
                <w:rFonts w:ascii="Arial" w:hAnsi="Arial" w:cs="Arial"/>
                <w:color w:val="000000" w:themeColor="text1"/>
                <w:sz w:val="18"/>
                <w:szCs w:val="18"/>
              </w:rPr>
            </w:pPr>
            <w:r w:rsidRPr="004A613B">
              <w:rPr>
                <w:rFonts w:ascii="Arial" w:hAnsi="Arial" w:cs="Arial"/>
                <w:color w:val="000000" w:themeColor="text1"/>
                <w:sz w:val="18"/>
                <w:szCs w:val="18"/>
              </w:rPr>
              <w:t>Pravo na odustajanje od ugovora o kreditu</w:t>
            </w:r>
          </w:p>
        </w:tc>
        <w:tc>
          <w:tcPr>
            <w:tcW w:w="8228" w:type="dxa"/>
            <w:tcBorders>
              <w:top w:val="single" w:sz="4" w:space="0" w:color="000000"/>
              <w:left w:val="single" w:sz="4" w:space="0" w:color="000000"/>
              <w:bottom w:val="single" w:sz="4" w:space="0" w:color="000000"/>
              <w:right w:val="single" w:sz="4" w:space="0" w:color="000000"/>
            </w:tcBorders>
          </w:tcPr>
          <w:p w:rsidR="00EB5CB5" w:rsidRPr="004A613B" w:rsidRDefault="00EB5CB5" w:rsidP="00E738E1">
            <w:pPr>
              <w:rPr>
                <w:rFonts w:ascii="Arial" w:hAnsi="Arial" w:cs="Arial"/>
                <w:color w:val="000000" w:themeColor="text1"/>
                <w:sz w:val="18"/>
                <w:szCs w:val="18"/>
              </w:rPr>
            </w:pPr>
            <w:r w:rsidRPr="004A613B">
              <w:rPr>
                <w:rFonts w:ascii="Arial" w:hAnsi="Arial" w:cs="Arial"/>
                <w:color w:val="000000" w:themeColor="text1"/>
                <w:sz w:val="18"/>
                <w:szCs w:val="18"/>
              </w:rPr>
              <w:t>Potrošač ima pravo na odustajanje od kredita unutar razdoblja od 14 dana.</w:t>
            </w:r>
            <w:r w:rsidR="00632767" w:rsidRPr="004A613B">
              <w:rPr>
                <w:rFonts w:ascii="Arial" w:hAnsi="Arial" w:cs="Arial"/>
                <w:color w:val="000000" w:themeColor="text1"/>
                <w:sz w:val="18"/>
                <w:szCs w:val="18"/>
              </w:rPr>
              <w:t xml:space="preserve"> Rok se primjenjuje i kod ugovora o dodatnim uslugama.</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632767" w:rsidRPr="004A613B" w:rsidRDefault="00632767" w:rsidP="000B2E2A">
            <w:pPr>
              <w:rPr>
                <w:rFonts w:ascii="Arial" w:hAnsi="Arial" w:cs="Arial"/>
                <w:color w:val="000000" w:themeColor="text1"/>
                <w:sz w:val="18"/>
                <w:szCs w:val="18"/>
              </w:rPr>
            </w:pPr>
            <w:r w:rsidRPr="004A613B">
              <w:rPr>
                <w:rFonts w:ascii="Arial" w:hAnsi="Arial" w:cs="Arial"/>
                <w:color w:val="000000" w:themeColor="text1"/>
                <w:sz w:val="18"/>
                <w:szCs w:val="18"/>
              </w:rPr>
              <w:t>Prava ugovornih strana prije i/ili nakon sklapanja ugovora o kreditu</w:t>
            </w:r>
          </w:p>
        </w:tc>
        <w:tc>
          <w:tcPr>
            <w:tcW w:w="8228" w:type="dxa"/>
            <w:tcBorders>
              <w:top w:val="single" w:sz="4" w:space="0" w:color="000000"/>
              <w:left w:val="single" w:sz="4" w:space="0" w:color="000000"/>
              <w:bottom w:val="single" w:sz="4" w:space="0" w:color="000000"/>
              <w:right w:val="single" w:sz="4" w:space="0" w:color="000000"/>
            </w:tcBorders>
          </w:tcPr>
          <w:p w:rsidR="00632767" w:rsidRPr="004A613B" w:rsidRDefault="00632767" w:rsidP="002B11CB">
            <w:pPr>
              <w:rPr>
                <w:rFonts w:ascii="Arial" w:hAnsi="Arial" w:cs="Arial"/>
                <w:color w:val="000000" w:themeColor="text1"/>
                <w:sz w:val="18"/>
                <w:szCs w:val="18"/>
              </w:rPr>
            </w:pPr>
            <w:r w:rsidRPr="004A613B">
              <w:rPr>
                <w:rFonts w:ascii="Arial" w:hAnsi="Arial" w:cs="Arial"/>
                <w:color w:val="000000" w:themeColor="text1"/>
                <w:sz w:val="18"/>
                <w:szCs w:val="18"/>
              </w:rPr>
              <w:t xml:space="preserve">Banka zadržava pravo odbiti kreditni zahtjev Klijenta ako u trenutku podnošenja zahtjeva ili do trenutka sklapanja ugovora o kreditu ocijeni da ne želi zaključiti ugovor o kreditu, o čemu će ga bez odgađanja obavijestiti. Banka zadržava pravo odbiti zahtjev za kredit, odnosno sklopiti ugovor o kreditu i ako Klijent uskrati privolu za obradu osobnih podataka u svrhe provedbe ugovornog odnosa, upravljanja i procjene kreditnim i drugim rizicima, kao i u druge svrhe iz </w:t>
            </w:r>
            <w:r w:rsidR="00081529" w:rsidRPr="004A613B">
              <w:rPr>
                <w:rFonts w:ascii="Arial" w:hAnsi="Arial" w:cs="Arial"/>
                <w:color w:val="000000" w:themeColor="text1"/>
                <w:sz w:val="18"/>
                <w:szCs w:val="18"/>
              </w:rPr>
              <w:t>Općih uvjeta kreditnog poslovanja s fizičkim osobama – potrošačima.</w:t>
            </w:r>
          </w:p>
        </w:tc>
      </w:tr>
      <w:tr w:rsidR="005F5923" w:rsidRPr="004A613B" w:rsidTr="008E5F02">
        <w:trPr>
          <w:trHeight w:val="902"/>
        </w:trPr>
        <w:tc>
          <w:tcPr>
            <w:tcW w:w="2121" w:type="dxa"/>
            <w:tcBorders>
              <w:top w:val="single" w:sz="4" w:space="0" w:color="000000"/>
              <w:left w:val="single" w:sz="4" w:space="0" w:color="000000"/>
              <w:bottom w:val="single" w:sz="4" w:space="0" w:color="000000"/>
              <w:right w:val="single" w:sz="4" w:space="0" w:color="000000"/>
            </w:tcBorders>
          </w:tcPr>
          <w:p w:rsidR="00811985" w:rsidRPr="004A613B" w:rsidRDefault="00811985" w:rsidP="00811985">
            <w:pPr>
              <w:rPr>
                <w:rFonts w:ascii="Arial" w:hAnsi="Arial" w:cs="Arial"/>
                <w:color w:val="000000" w:themeColor="text1"/>
                <w:sz w:val="18"/>
                <w:szCs w:val="18"/>
              </w:rPr>
            </w:pPr>
            <w:r w:rsidRPr="004A613B">
              <w:rPr>
                <w:rFonts w:ascii="Arial" w:hAnsi="Arial" w:cs="Arial"/>
                <w:color w:val="000000" w:themeColor="text1"/>
                <w:sz w:val="18"/>
                <w:szCs w:val="18"/>
              </w:rPr>
              <w:t>Osnovna dokumentacija za realizaciju kredita</w:t>
            </w:r>
          </w:p>
        </w:tc>
        <w:tc>
          <w:tcPr>
            <w:tcW w:w="8228" w:type="dxa"/>
            <w:tcBorders>
              <w:top w:val="single" w:sz="4" w:space="0" w:color="000000"/>
              <w:left w:val="single" w:sz="4" w:space="0" w:color="000000"/>
              <w:bottom w:val="single" w:sz="4" w:space="0" w:color="000000"/>
              <w:right w:val="single" w:sz="4" w:space="0" w:color="000000"/>
            </w:tcBorders>
          </w:tcPr>
          <w:p w:rsidR="00811985" w:rsidRPr="004A613B" w:rsidRDefault="00811985" w:rsidP="00811985">
            <w:pPr>
              <w:pStyle w:val="ListParagraph"/>
              <w:numPr>
                <w:ilvl w:val="0"/>
                <w:numId w:val="7"/>
              </w:numPr>
              <w:spacing w:line="240" w:lineRule="auto"/>
              <w:ind w:left="169" w:hanging="135"/>
              <w:rPr>
                <w:rFonts w:ascii="Arial" w:hAnsi="Arial" w:cs="Arial"/>
                <w:color w:val="000000" w:themeColor="text1"/>
                <w:sz w:val="18"/>
                <w:szCs w:val="18"/>
              </w:rPr>
            </w:pPr>
            <w:r w:rsidRPr="004A613B">
              <w:rPr>
                <w:rFonts w:ascii="Arial" w:hAnsi="Arial" w:cs="Arial"/>
                <w:color w:val="000000" w:themeColor="text1"/>
                <w:sz w:val="18"/>
                <w:szCs w:val="18"/>
              </w:rPr>
              <w:t>Zahtjev za kredit</w:t>
            </w:r>
          </w:p>
          <w:p w:rsidR="00811985" w:rsidRPr="004A613B" w:rsidRDefault="00811985" w:rsidP="00811985">
            <w:pPr>
              <w:pStyle w:val="ListParagraph"/>
              <w:numPr>
                <w:ilvl w:val="0"/>
                <w:numId w:val="7"/>
              </w:numPr>
              <w:spacing w:line="240" w:lineRule="auto"/>
              <w:ind w:left="169" w:hanging="135"/>
              <w:rPr>
                <w:rFonts w:ascii="Arial" w:hAnsi="Arial" w:cs="Arial"/>
                <w:color w:val="000000" w:themeColor="text1"/>
                <w:sz w:val="18"/>
                <w:szCs w:val="18"/>
              </w:rPr>
            </w:pPr>
            <w:r w:rsidRPr="004A613B">
              <w:rPr>
                <w:rFonts w:ascii="Arial" w:hAnsi="Arial" w:cs="Arial"/>
                <w:color w:val="000000" w:themeColor="text1"/>
                <w:sz w:val="18"/>
                <w:szCs w:val="18"/>
              </w:rPr>
              <w:t>Preslike osobnih iskaznica svih sudionika u kreditu</w:t>
            </w:r>
          </w:p>
          <w:p w:rsidR="00811985" w:rsidRPr="004A613B" w:rsidRDefault="00811985" w:rsidP="00811985">
            <w:pPr>
              <w:pStyle w:val="ListParagraph"/>
              <w:numPr>
                <w:ilvl w:val="0"/>
                <w:numId w:val="7"/>
              </w:numPr>
              <w:spacing w:after="0" w:line="240" w:lineRule="auto"/>
              <w:ind w:left="169" w:hanging="135"/>
              <w:rPr>
                <w:rFonts w:ascii="Arial" w:hAnsi="Arial" w:cs="Arial"/>
                <w:color w:val="000000" w:themeColor="text1"/>
                <w:sz w:val="18"/>
                <w:szCs w:val="18"/>
              </w:rPr>
            </w:pPr>
            <w:r w:rsidRPr="004A613B">
              <w:rPr>
                <w:rFonts w:ascii="Arial" w:hAnsi="Arial" w:cs="Arial"/>
                <w:color w:val="000000" w:themeColor="text1"/>
                <w:sz w:val="18"/>
                <w:szCs w:val="18"/>
              </w:rPr>
              <w:t>Izjava o zaduženju svih sudionika u kreditnom poslu</w:t>
            </w:r>
          </w:p>
          <w:p w:rsidR="00843A22" w:rsidRPr="004A613B" w:rsidRDefault="00811985" w:rsidP="008E5F02">
            <w:pPr>
              <w:ind w:left="34"/>
              <w:rPr>
                <w:rFonts w:ascii="Arial" w:hAnsi="Arial" w:cs="Arial"/>
                <w:color w:val="000000" w:themeColor="text1"/>
                <w:sz w:val="18"/>
                <w:szCs w:val="18"/>
              </w:rPr>
            </w:pPr>
            <w:r w:rsidRPr="004A613B">
              <w:rPr>
                <w:rFonts w:ascii="Arial" w:hAnsi="Arial" w:cs="Arial"/>
                <w:color w:val="000000" w:themeColor="text1"/>
                <w:sz w:val="18"/>
                <w:szCs w:val="18"/>
              </w:rPr>
              <w:t>Po potrebi, Banka ima pravo zatražiti dodatnu dokumentaciju.</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0E5650" w:rsidRPr="004A613B" w:rsidRDefault="000E5650" w:rsidP="000E5650">
            <w:pPr>
              <w:rPr>
                <w:rFonts w:ascii="Arial" w:hAnsi="Arial" w:cs="Arial"/>
                <w:color w:val="000000" w:themeColor="text1"/>
                <w:sz w:val="18"/>
                <w:szCs w:val="18"/>
              </w:rPr>
            </w:pPr>
            <w:r w:rsidRPr="004A613B">
              <w:rPr>
                <w:rFonts w:ascii="Arial" w:hAnsi="Arial" w:cs="Arial"/>
                <w:color w:val="000000" w:themeColor="text1"/>
                <w:sz w:val="18"/>
                <w:szCs w:val="18"/>
              </w:rPr>
              <w:t>Reprezentativni primjer</w:t>
            </w:r>
            <w:r w:rsidR="00843A22">
              <w:rPr>
                <w:rFonts w:ascii="Arial" w:hAnsi="Arial" w:cs="Arial"/>
                <w:color w:val="000000" w:themeColor="text1"/>
                <w:sz w:val="18"/>
                <w:szCs w:val="18"/>
              </w:rPr>
              <w:t xml:space="preserve"> – sa dvojnim prikazom</w:t>
            </w:r>
          </w:p>
        </w:tc>
        <w:tc>
          <w:tcPr>
            <w:tcW w:w="8228" w:type="dxa"/>
            <w:tcBorders>
              <w:top w:val="single" w:sz="4" w:space="0" w:color="000000"/>
              <w:left w:val="single" w:sz="4" w:space="0" w:color="000000"/>
              <w:bottom w:val="single" w:sz="4" w:space="0" w:color="000000"/>
              <w:right w:val="single" w:sz="4" w:space="0" w:color="000000"/>
            </w:tcBorders>
          </w:tcPr>
          <w:p w:rsidR="000E5650" w:rsidRPr="004A613B" w:rsidRDefault="000E5650" w:rsidP="000E5650">
            <w:pPr>
              <w:rPr>
                <w:rFonts w:ascii="Arial" w:hAnsi="Arial" w:cs="Arial"/>
                <w:color w:val="000000" w:themeColor="text1"/>
                <w:sz w:val="18"/>
                <w:szCs w:val="18"/>
              </w:rPr>
            </w:pPr>
          </w:p>
          <w:tbl>
            <w:tblPr>
              <w:tblW w:w="5968" w:type="dxa"/>
              <w:jc w:val="center"/>
              <w:tblLook w:val="04A0" w:firstRow="1" w:lastRow="0" w:firstColumn="1" w:lastColumn="0" w:noHBand="0" w:noVBand="1"/>
            </w:tblPr>
            <w:tblGrid>
              <w:gridCol w:w="4117"/>
              <w:gridCol w:w="1851"/>
            </w:tblGrid>
            <w:tr w:rsidR="008E5F02" w:rsidRPr="004A613B" w:rsidTr="008E5F02">
              <w:trPr>
                <w:trHeight w:val="300"/>
                <w:jc w:val="center"/>
              </w:trPr>
              <w:tc>
                <w:tcPr>
                  <w:tcW w:w="411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8E5F02" w:rsidRPr="004A613B" w:rsidRDefault="008E5F02" w:rsidP="006237D2">
                  <w:pPr>
                    <w:jc w:val="center"/>
                    <w:rPr>
                      <w:rFonts w:ascii="Arial" w:hAnsi="Arial" w:cs="Arial"/>
                      <w:b/>
                      <w:color w:val="000000" w:themeColor="text1"/>
                      <w:sz w:val="18"/>
                      <w:szCs w:val="18"/>
                    </w:rPr>
                  </w:pPr>
                  <w:r w:rsidRPr="004A613B">
                    <w:rPr>
                      <w:rFonts w:ascii="Arial" w:hAnsi="Arial" w:cs="Arial"/>
                      <w:b/>
                      <w:color w:val="000000" w:themeColor="text1"/>
                      <w:sz w:val="18"/>
                      <w:szCs w:val="18"/>
                    </w:rPr>
                    <w:t>Valuta kredita</w:t>
                  </w:r>
                  <w:r>
                    <w:rPr>
                      <w:rFonts w:ascii="Arial" w:hAnsi="Arial" w:cs="Arial"/>
                      <w:b/>
                      <w:color w:val="000000" w:themeColor="text1"/>
                      <w:sz w:val="18"/>
                      <w:szCs w:val="18"/>
                    </w:rPr>
                    <w:t>*</w:t>
                  </w:r>
                </w:p>
              </w:tc>
              <w:tc>
                <w:tcPr>
                  <w:tcW w:w="1851" w:type="dxa"/>
                  <w:tcBorders>
                    <w:top w:val="single" w:sz="4" w:space="0" w:color="808080"/>
                    <w:left w:val="nil"/>
                    <w:bottom w:val="single" w:sz="4" w:space="0" w:color="808080"/>
                    <w:right w:val="single" w:sz="4" w:space="0" w:color="808080"/>
                  </w:tcBorders>
                  <w:shd w:val="clear" w:color="auto" w:fill="auto"/>
                  <w:noWrap/>
                  <w:vAlign w:val="bottom"/>
                </w:tcPr>
                <w:p w:rsidR="008E5F02" w:rsidRPr="004A613B" w:rsidRDefault="008E5F02" w:rsidP="006237D2">
                  <w:pPr>
                    <w:jc w:val="center"/>
                    <w:rPr>
                      <w:rFonts w:ascii="Arial" w:hAnsi="Arial" w:cs="Arial"/>
                      <w:b/>
                      <w:color w:val="000000" w:themeColor="text1"/>
                      <w:sz w:val="18"/>
                      <w:szCs w:val="18"/>
                    </w:rPr>
                  </w:pPr>
                  <w:r>
                    <w:rPr>
                      <w:rFonts w:ascii="Arial" w:hAnsi="Arial" w:cs="Arial"/>
                      <w:b/>
                      <w:color w:val="000000" w:themeColor="text1"/>
                      <w:sz w:val="18"/>
                      <w:szCs w:val="18"/>
                    </w:rPr>
                    <w:t>EUR</w:t>
                  </w:r>
                </w:p>
              </w:tc>
            </w:tr>
            <w:tr w:rsidR="008E5F02" w:rsidRPr="004A613B" w:rsidTr="008E5F02">
              <w:trPr>
                <w:trHeight w:val="300"/>
                <w:jc w:val="center"/>
              </w:trPr>
              <w:tc>
                <w:tcPr>
                  <w:tcW w:w="4117" w:type="dxa"/>
                  <w:tcBorders>
                    <w:top w:val="nil"/>
                    <w:left w:val="single" w:sz="4" w:space="0" w:color="808080"/>
                    <w:bottom w:val="single" w:sz="4" w:space="0" w:color="808080"/>
                    <w:right w:val="single" w:sz="4" w:space="0" w:color="808080"/>
                  </w:tcBorders>
                  <w:shd w:val="clear" w:color="auto" w:fill="auto"/>
                  <w:noWrap/>
                  <w:vAlign w:val="center"/>
                  <w:hideMark/>
                </w:tcPr>
                <w:p w:rsidR="008E5F02" w:rsidRPr="004A613B" w:rsidRDefault="008E5F02" w:rsidP="006237D2">
                  <w:pPr>
                    <w:rPr>
                      <w:rFonts w:ascii="Arial" w:hAnsi="Arial" w:cs="Arial"/>
                      <w:color w:val="000000" w:themeColor="text1"/>
                      <w:sz w:val="18"/>
                      <w:szCs w:val="18"/>
                    </w:rPr>
                  </w:pPr>
                  <w:r w:rsidRPr="004A613B">
                    <w:rPr>
                      <w:rFonts w:ascii="Arial" w:hAnsi="Arial" w:cs="Arial"/>
                      <w:color w:val="000000" w:themeColor="text1"/>
                      <w:sz w:val="18"/>
                      <w:szCs w:val="18"/>
                    </w:rPr>
                    <w:t>Glavnica kredita</w:t>
                  </w:r>
                </w:p>
              </w:tc>
              <w:tc>
                <w:tcPr>
                  <w:tcW w:w="1851" w:type="dxa"/>
                  <w:tcBorders>
                    <w:top w:val="nil"/>
                    <w:left w:val="nil"/>
                    <w:bottom w:val="single" w:sz="4" w:space="0" w:color="808080"/>
                    <w:right w:val="single" w:sz="4" w:space="0" w:color="808080"/>
                  </w:tcBorders>
                  <w:shd w:val="clear" w:color="auto" w:fill="auto"/>
                  <w:noWrap/>
                  <w:vAlign w:val="bottom"/>
                </w:tcPr>
                <w:p w:rsidR="008E5F02" w:rsidRPr="004A613B" w:rsidRDefault="008E5F02" w:rsidP="006237D2">
                  <w:pPr>
                    <w:jc w:val="right"/>
                    <w:rPr>
                      <w:rFonts w:ascii="Arial" w:hAnsi="Arial" w:cs="Arial"/>
                      <w:color w:val="000000" w:themeColor="text1"/>
                      <w:sz w:val="18"/>
                      <w:szCs w:val="18"/>
                    </w:rPr>
                  </w:pPr>
                  <w:r>
                    <w:rPr>
                      <w:rFonts w:ascii="Arial" w:hAnsi="Arial" w:cs="Arial"/>
                      <w:color w:val="000000" w:themeColor="text1"/>
                      <w:sz w:val="18"/>
                      <w:szCs w:val="18"/>
                    </w:rPr>
                    <w:t>25.000,00 EUR</w:t>
                  </w:r>
                </w:p>
              </w:tc>
            </w:tr>
            <w:tr w:rsidR="008E5F02" w:rsidRPr="004A613B" w:rsidTr="008E5F02">
              <w:trPr>
                <w:trHeight w:val="300"/>
                <w:jc w:val="center"/>
              </w:trPr>
              <w:tc>
                <w:tcPr>
                  <w:tcW w:w="4117" w:type="dxa"/>
                  <w:tcBorders>
                    <w:top w:val="nil"/>
                    <w:left w:val="single" w:sz="4" w:space="0" w:color="808080"/>
                    <w:bottom w:val="single" w:sz="4" w:space="0" w:color="808080"/>
                    <w:right w:val="single" w:sz="4" w:space="0" w:color="808080"/>
                  </w:tcBorders>
                  <w:shd w:val="clear" w:color="auto" w:fill="auto"/>
                  <w:noWrap/>
                  <w:vAlign w:val="center"/>
                  <w:hideMark/>
                </w:tcPr>
                <w:p w:rsidR="008E5F02" w:rsidRPr="004A613B" w:rsidRDefault="008E5F02" w:rsidP="006237D2">
                  <w:pPr>
                    <w:rPr>
                      <w:rFonts w:ascii="Arial" w:hAnsi="Arial" w:cs="Arial"/>
                      <w:color w:val="000000" w:themeColor="text1"/>
                      <w:sz w:val="18"/>
                      <w:szCs w:val="18"/>
                    </w:rPr>
                  </w:pPr>
                  <w:r w:rsidRPr="004A613B">
                    <w:rPr>
                      <w:rFonts w:ascii="Arial" w:hAnsi="Arial" w:cs="Arial"/>
                      <w:color w:val="000000" w:themeColor="text1"/>
                      <w:sz w:val="18"/>
                      <w:szCs w:val="18"/>
                    </w:rPr>
                    <w:t>Rok otplate (godina)</w:t>
                  </w:r>
                </w:p>
              </w:tc>
              <w:tc>
                <w:tcPr>
                  <w:tcW w:w="1851" w:type="dxa"/>
                  <w:tcBorders>
                    <w:top w:val="nil"/>
                    <w:left w:val="nil"/>
                    <w:bottom w:val="single" w:sz="4" w:space="0" w:color="808080"/>
                    <w:right w:val="single" w:sz="4" w:space="0" w:color="808080"/>
                  </w:tcBorders>
                  <w:shd w:val="clear" w:color="auto" w:fill="auto"/>
                  <w:noWrap/>
                  <w:vAlign w:val="bottom"/>
                </w:tcPr>
                <w:p w:rsidR="008E5F02" w:rsidRPr="004A613B" w:rsidRDefault="008E5F02" w:rsidP="006237D2">
                  <w:pPr>
                    <w:jc w:val="right"/>
                    <w:rPr>
                      <w:rFonts w:ascii="Arial" w:hAnsi="Arial" w:cs="Arial"/>
                      <w:color w:val="000000" w:themeColor="text1"/>
                      <w:sz w:val="18"/>
                      <w:szCs w:val="18"/>
                    </w:rPr>
                  </w:pPr>
                  <w:r w:rsidRPr="004A613B">
                    <w:rPr>
                      <w:rFonts w:ascii="Arial" w:hAnsi="Arial" w:cs="Arial"/>
                      <w:color w:val="000000" w:themeColor="text1"/>
                      <w:sz w:val="18"/>
                      <w:szCs w:val="18"/>
                    </w:rPr>
                    <w:t>1</w:t>
                  </w:r>
                  <w:r>
                    <w:rPr>
                      <w:rFonts w:ascii="Arial" w:hAnsi="Arial" w:cs="Arial"/>
                      <w:color w:val="000000" w:themeColor="text1"/>
                      <w:sz w:val="18"/>
                      <w:szCs w:val="18"/>
                    </w:rPr>
                    <w:t>0</w:t>
                  </w:r>
                </w:p>
              </w:tc>
            </w:tr>
            <w:tr w:rsidR="008E5F02" w:rsidRPr="004A613B" w:rsidTr="008E5F02">
              <w:trPr>
                <w:trHeight w:val="300"/>
                <w:jc w:val="center"/>
              </w:trPr>
              <w:tc>
                <w:tcPr>
                  <w:tcW w:w="4117" w:type="dxa"/>
                  <w:tcBorders>
                    <w:top w:val="nil"/>
                    <w:left w:val="single" w:sz="4" w:space="0" w:color="808080"/>
                    <w:bottom w:val="single" w:sz="4" w:space="0" w:color="808080"/>
                    <w:right w:val="single" w:sz="4" w:space="0" w:color="808080"/>
                  </w:tcBorders>
                  <w:shd w:val="clear" w:color="auto" w:fill="auto"/>
                  <w:noWrap/>
                  <w:vAlign w:val="center"/>
                  <w:hideMark/>
                </w:tcPr>
                <w:p w:rsidR="008E5F02" w:rsidRPr="004A613B" w:rsidRDefault="008E5F02" w:rsidP="006237D2">
                  <w:pPr>
                    <w:rPr>
                      <w:rFonts w:ascii="Arial" w:hAnsi="Arial" w:cs="Arial"/>
                      <w:color w:val="000000" w:themeColor="text1"/>
                      <w:sz w:val="18"/>
                      <w:szCs w:val="18"/>
                    </w:rPr>
                  </w:pPr>
                  <w:r w:rsidRPr="004A613B">
                    <w:rPr>
                      <w:rFonts w:ascii="Arial" w:hAnsi="Arial" w:cs="Arial"/>
                      <w:color w:val="000000" w:themeColor="text1"/>
                      <w:sz w:val="18"/>
                      <w:szCs w:val="18"/>
                    </w:rPr>
                    <w:t>Naknada</w:t>
                  </w:r>
                </w:p>
              </w:tc>
              <w:tc>
                <w:tcPr>
                  <w:tcW w:w="1851" w:type="dxa"/>
                  <w:tcBorders>
                    <w:top w:val="nil"/>
                    <w:left w:val="nil"/>
                    <w:bottom w:val="single" w:sz="4" w:space="0" w:color="808080"/>
                    <w:right w:val="single" w:sz="4" w:space="0" w:color="808080"/>
                  </w:tcBorders>
                  <w:shd w:val="clear" w:color="auto" w:fill="auto"/>
                  <w:noWrap/>
                  <w:vAlign w:val="bottom"/>
                </w:tcPr>
                <w:p w:rsidR="008E5F02" w:rsidRPr="004A613B" w:rsidRDefault="008E5F02" w:rsidP="006237D2">
                  <w:pPr>
                    <w:jc w:val="right"/>
                    <w:rPr>
                      <w:rFonts w:ascii="Arial" w:hAnsi="Arial" w:cs="Arial"/>
                      <w:color w:val="000000" w:themeColor="text1"/>
                      <w:sz w:val="18"/>
                      <w:szCs w:val="18"/>
                    </w:rPr>
                  </w:pPr>
                  <w:r w:rsidRPr="004A613B">
                    <w:rPr>
                      <w:rFonts w:ascii="Arial" w:hAnsi="Arial" w:cs="Arial"/>
                      <w:color w:val="000000" w:themeColor="text1"/>
                      <w:sz w:val="18"/>
                      <w:szCs w:val="18"/>
                    </w:rPr>
                    <w:t>0,5%</w:t>
                  </w:r>
                </w:p>
              </w:tc>
            </w:tr>
            <w:tr w:rsidR="008E5F02" w:rsidRPr="004A613B" w:rsidTr="008E5F02">
              <w:trPr>
                <w:trHeight w:val="300"/>
                <w:jc w:val="center"/>
              </w:trPr>
              <w:tc>
                <w:tcPr>
                  <w:tcW w:w="4117" w:type="dxa"/>
                  <w:tcBorders>
                    <w:top w:val="nil"/>
                    <w:left w:val="single" w:sz="4" w:space="0" w:color="808080"/>
                    <w:bottom w:val="single" w:sz="4" w:space="0" w:color="808080"/>
                    <w:right w:val="single" w:sz="4" w:space="0" w:color="808080"/>
                  </w:tcBorders>
                  <w:shd w:val="clear" w:color="auto" w:fill="auto"/>
                  <w:noWrap/>
                  <w:vAlign w:val="center"/>
                  <w:hideMark/>
                </w:tcPr>
                <w:p w:rsidR="008E5F02" w:rsidRPr="004A613B" w:rsidRDefault="008E5F02" w:rsidP="008E5F02">
                  <w:pPr>
                    <w:rPr>
                      <w:rFonts w:ascii="Arial" w:hAnsi="Arial" w:cs="Arial"/>
                      <w:color w:val="000000" w:themeColor="text1"/>
                      <w:sz w:val="18"/>
                      <w:szCs w:val="18"/>
                    </w:rPr>
                  </w:pPr>
                  <w:r w:rsidRPr="004A613B">
                    <w:rPr>
                      <w:rFonts w:ascii="Arial" w:hAnsi="Arial" w:cs="Arial"/>
                      <w:color w:val="000000" w:themeColor="text1"/>
                      <w:sz w:val="18"/>
                      <w:szCs w:val="18"/>
                    </w:rPr>
                    <w:t>Iznos naknade za odobrenje kredita</w:t>
                  </w:r>
                </w:p>
              </w:tc>
              <w:tc>
                <w:tcPr>
                  <w:tcW w:w="1851" w:type="dxa"/>
                  <w:tcBorders>
                    <w:top w:val="nil"/>
                    <w:left w:val="nil"/>
                    <w:bottom w:val="single" w:sz="4" w:space="0" w:color="808080"/>
                    <w:right w:val="single" w:sz="4" w:space="0" w:color="808080"/>
                  </w:tcBorders>
                  <w:shd w:val="clear" w:color="auto" w:fill="auto"/>
                  <w:noWrap/>
                  <w:vAlign w:val="bottom"/>
                </w:tcPr>
                <w:p w:rsidR="008E5F02" w:rsidRPr="008E5F02" w:rsidRDefault="008E5F02" w:rsidP="008E5F02">
                  <w:pPr>
                    <w:jc w:val="right"/>
                    <w:rPr>
                      <w:rFonts w:ascii="Arial" w:hAnsi="Arial" w:cs="Arial"/>
                      <w:sz w:val="18"/>
                      <w:szCs w:val="18"/>
                      <w:lang w:eastAsia="en-US"/>
                    </w:rPr>
                  </w:pPr>
                  <w:r w:rsidRPr="008E5F02">
                    <w:rPr>
                      <w:rFonts w:ascii="Arial" w:hAnsi="Arial" w:cs="Arial"/>
                      <w:sz w:val="18"/>
                      <w:szCs w:val="18"/>
                    </w:rPr>
                    <w:t>125,00 EUR</w:t>
                  </w:r>
                </w:p>
              </w:tc>
            </w:tr>
            <w:tr w:rsidR="008E5F02" w:rsidRPr="004A613B" w:rsidTr="008E5F02">
              <w:trPr>
                <w:trHeight w:val="300"/>
                <w:jc w:val="center"/>
              </w:trPr>
              <w:tc>
                <w:tcPr>
                  <w:tcW w:w="4117" w:type="dxa"/>
                  <w:tcBorders>
                    <w:top w:val="nil"/>
                    <w:left w:val="single" w:sz="4" w:space="0" w:color="808080"/>
                    <w:bottom w:val="single" w:sz="4" w:space="0" w:color="808080"/>
                    <w:right w:val="single" w:sz="4" w:space="0" w:color="808080"/>
                  </w:tcBorders>
                  <w:shd w:val="clear" w:color="auto" w:fill="auto"/>
                  <w:noWrap/>
                  <w:vAlign w:val="center"/>
                  <w:hideMark/>
                </w:tcPr>
                <w:p w:rsidR="008E5F02" w:rsidRPr="004A613B" w:rsidRDefault="008E5F02" w:rsidP="008E5F02">
                  <w:pPr>
                    <w:rPr>
                      <w:rFonts w:ascii="Arial" w:hAnsi="Arial" w:cs="Arial"/>
                      <w:color w:val="000000" w:themeColor="text1"/>
                      <w:sz w:val="18"/>
                      <w:szCs w:val="18"/>
                    </w:rPr>
                  </w:pPr>
                  <w:r w:rsidRPr="004A613B">
                    <w:rPr>
                      <w:rFonts w:ascii="Arial" w:hAnsi="Arial" w:cs="Arial"/>
                      <w:color w:val="000000" w:themeColor="text1"/>
                      <w:sz w:val="18"/>
                      <w:szCs w:val="18"/>
                    </w:rPr>
                    <w:t>Redovna kamatna stopa</w:t>
                  </w:r>
                </w:p>
              </w:tc>
              <w:tc>
                <w:tcPr>
                  <w:tcW w:w="1851" w:type="dxa"/>
                  <w:tcBorders>
                    <w:top w:val="nil"/>
                    <w:left w:val="nil"/>
                    <w:bottom w:val="single" w:sz="4" w:space="0" w:color="808080"/>
                    <w:right w:val="single" w:sz="4" w:space="0" w:color="808080"/>
                  </w:tcBorders>
                  <w:shd w:val="clear" w:color="auto" w:fill="auto"/>
                  <w:noWrap/>
                  <w:vAlign w:val="bottom"/>
                </w:tcPr>
                <w:p w:rsidR="008E5F02" w:rsidRPr="008E5F02" w:rsidRDefault="008E5F02" w:rsidP="008E5F02">
                  <w:pPr>
                    <w:jc w:val="right"/>
                    <w:rPr>
                      <w:rFonts w:ascii="Arial" w:hAnsi="Arial" w:cs="Arial"/>
                      <w:sz w:val="18"/>
                      <w:szCs w:val="18"/>
                    </w:rPr>
                  </w:pPr>
                  <w:r w:rsidRPr="008E5F02">
                    <w:rPr>
                      <w:rFonts w:ascii="Arial" w:hAnsi="Arial" w:cs="Arial"/>
                      <w:sz w:val="18"/>
                      <w:szCs w:val="18"/>
                    </w:rPr>
                    <w:t>3,60%</w:t>
                  </w:r>
                </w:p>
              </w:tc>
            </w:tr>
            <w:tr w:rsidR="008E5F02" w:rsidRPr="004A613B" w:rsidTr="008E5F02">
              <w:trPr>
                <w:trHeight w:val="300"/>
                <w:jc w:val="center"/>
              </w:trPr>
              <w:tc>
                <w:tcPr>
                  <w:tcW w:w="4117" w:type="dxa"/>
                  <w:tcBorders>
                    <w:top w:val="nil"/>
                    <w:left w:val="single" w:sz="4" w:space="0" w:color="808080"/>
                    <w:bottom w:val="single" w:sz="4" w:space="0" w:color="808080"/>
                    <w:right w:val="single" w:sz="4" w:space="0" w:color="808080"/>
                  </w:tcBorders>
                  <w:shd w:val="clear" w:color="auto" w:fill="auto"/>
                  <w:noWrap/>
                  <w:vAlign w:val="center"/>
                  <w:hideMark/>
                </w:tcPr>
                <w:p w:rsidR="008E5F02" w:rsidRPr="004A613B" w:rsidRDefault="008E5F02" w:rsidP="008E5F02">
                  <w:pPr>
                    <w:rPr>
                      <w:rFonts w:ascii="Arial" w:hAnsi="Arial" w:cs="Arial"/>
                      <w:color w:val="000000" w:themeColor="text1"/>
                      <w:sz w:val="18"/>
                      <w:szCs w:val="18"/>
                    </w:rPr>
                  </w:pPr>
                  <w:r w:rsidRPr="004A613B">
                    <w:rPr>
                      <w:rFonts w:ascii="Arial" w:hAnsi="Arial" w:cs="Arial"/>
                      <w:color w:val="000000" w:themeColor="text1"/>
                      <w:sz w:val="18"/>
                      <w:szCs w:val="18"/>
                    </w:rPr>
                    <w:t>Efektivna kamatna stopa (EKS)</w:t>
                  </w:r>
                </w:p>
              </w:tc>
              <w:tc>
                <w:tcPr>
                  <w:tcW w:w="1851" w:type="dxa"/>
                  <w:tcBorders>
                    <w:top w:val="nil"/>
                    <w:left w:val="nil"/>
                    <w:bottom w:val="single" w:sz="4" w:space="0" w:color="808080"/>
                    <w:right w:val="single" w:sz="4" w:space="0" w:color="808080"/>
                  </w:tcBorders>
                  <w:shd w:val="clear" w:color="auto" w:fill="auto"/>
                  <w:noWrap/>
                  <w:vAlign w:val="bottom"/>
                </w:tcPr>
                <w:p w:rsidR="008E5F02" w:rsidRPr="008E5F02" w:rsidRDefault="008E5F02" w:rsidP="008E5F02">
                  <w:pPr>
                    <w:jc w:val="right"/>
                    <w:rPr>
                      <w:rFonts w:ascii="Arial" w:hAnsi="Arial" w:cs="Arial"/>
                      <w:sz w:val="18"/>
                      <w:szCs w:val="18"/>
                    </w:rPr>
                  </w:pPr>
                  <w:r w:rsidRPr="008E5F02">
                    <w:rPr>
                      <w:rFonts w:ascii="Arial" w:hAnsi="Arial" w:cs="Arial"/>
                      <w:sz w:val="18"/>
                      <w:szCs w:val="18"/>
                    </w:rPr>
                    <w:t>3,77%*</w:t>
                  </w:r>
                </w:p>
              </w:tc>
            </w:tr>
            <w:tr w:rsidR="008E5F02" w:rsidRPr="004A613B" w:rsidTr="008E5F02">
              <w:trPr>
                <w:trHeight w:val="300"/>
                <w:jc w:val="center"/>
              </w:trPr>
              <w:tc>
                <w:tcPr>
                  <w:tcW w:w="4117" w:type="dxa"/>
                  <w:tcBorders>
                    <w:top w:val="nil"/>
                    <w:left w:val="single" w:sz="4" w:space="0" w:color="808080"/>
                    <w:bottom w:val="single" w:sz="4" w:space="0" w:color="808080"/>
                    <w:right w:val="single" w:sz="4" w:space="0" w:color="808080"/>
                  </w:tcBorders>
                  <w:shd w:val="clear" w:color="auto" w:fill="auto"/>
                  <w:noWrap/>
                  <w:vAlign w:val="center"/>
                  <w:hideMark/>
                </w:tcPr>
                <w:p w:rsidR="008E5F02" w:rsidRPr="004A613B" w:rsidRDefault="008E5F02" w:rsidP="008E5F02">
                  <w:pPr>
                    <w:rPr>
                      <w:rFonts w:ascii="Arial" w:hAnsi="Arial" w:cs="Arial"/>
                      <w:color w:val="000000" w:themeColor="text1"/>
                      <w:sz w:val="18"/>
                      <w:szCs w:val="18"/>
                    </w:rPr>
                  </w:pPr>
                  <w:r w:rsidRPr="004A613B">
                    <w:rPr>
                      <w:rFonts w:ascii="Arial" w:hAnsi="Arial" w:cs="Arial"/>
                      <w:color w:val="000000" w:themeColor="text1"/>
                      <w:sz w:val="18"/>
                      <w:szCs w:val="18"/>
                    </w:rPr>
                    <w:t>Ukupan iznos kamate za razdoblje otplate</w:t>
                  </w:r>
                </w:p>
              </w:tc>
              <w:tc>
                <w:tcPr>
                  <w:tcW w:w="1851" w:type="dxa"/>
                  <w:tcBorders>
                    <w:top w:val="nil"/>
                    <w:left w:val="nil"/>
                    <w:bottom w:val="single" w:sz="4" w:space="0" w:color="808080"/>
                    <w:right w:val="single" w:sz="4" w:space="0" w:color="808080"/>
                  </w:tcBorders>
                  <w:shd w:val="clear" w:color="auto" w:fill="auto"/>
                  <w:noWrap/>
                  <w:vAlign w:val="bottom"/>
                </w:tcPr>
                <w:p w:rsidR="008E5F02" w:rsidRPr="008E5F02" w:rsidRDefault="008E5F02" w:rsidP="008E5F02">
                  <w:pPr>
                    <w:jc w:val="right"/>
                    <w:rPr>
                      <w:rFonts w:ascii="Arial" w:hAnsi="Arial" w:cs="Arial"/>
                      <w:sz w:val="18"/>
                      <w:szCs w:val="18"/>
                    </w:rPr>
                  </w:pPr>
                  <w:r w:rsidRPr="008E5F02">
                    <w:rPr>
                      <w:rFonts w:ascii="Arial" w:hAnsi="Arial" w:cs="Arial"/>
                      <w:sz w:val="18"/>
                      <w:szCs w:val="18"/>
                    </w:rPr>
                    <w:t>4.803,20 EUR</w:t>
                  </w:r>
                </w:p>
              </w:tc>
            </w:tr>
            <w:tr w:rsidR="008E5F02" w:rsidRPr="004A613B" w:rsidTr="008E5F02">
              <w:trPr>
                <w:trHeight w:val="300"/>
                <w:jc w:val="center"/>
              </w:trPr>
              <w:tc>
                <w:tcPr>
                  <w:tcW w:w="4117" w:type="dxa"/>
                  <w:tcBorders>
                    <w:top w:val="nil"/>
                    <w:left w:val="single" w:sz="4" w:space="0" w:color="808080"/>
                    <w:bottom w:val="single" w:sz="4" w:space="0" w:color="808080"/>
                    <w:right w:val="single" w:sz="4" w:space="0" w:color="808080"/>
                  </w:tcBorders>
                  <w:shd w:val="clear" w:color="auto" w:fill="auto"/>
                  <w:noWrap/>
                  <w:vAlign w:val="center"/>
                  <w:hideMark/>
                </w:tcPr>
                <w:p w:rsidR="008E5F02" w:rsidRPr="004A613B" w:rsidRDefault="008E5F02" w:rsidP="008E5F02">
                  <w:pPr>
                    <w:rPr>
                      <w:rFonts w:ascii="Arial" w:hAnsi="Arial" w:cs="Arial"/>
                      <w:color w:val="000000" w:themeColor="text1"/>
                      <w:sz w:val="18"/>
                      <w:szCs w:val="18"/>
                    </w:rPr>
                  </w:pPr>
                  <w:r w:rsidRPr="004A613B">
                    <w:rPr>
                      <w:rFonts w:ascii="Arial" w:hAnsi="Arial" w:cs="Arial"/>
                      <w:color w:val="000000" w:themeColor="text1"/>
                      <w:sz w:val="18"/>
                      <w:szCs w:val="18"/>
                    </w:rPr>
                    <w:t>Visina mjesečnog anuiteta</w:t>
                  </w:r>
                </w:p>
              </w:tc>
              <w:tc>
                <w:tcPr>
                  <w:tcW w:w="1851" w:type="dxa"/>
                  <w:tcBorders>
                    <w:top w:val="nil"/>
                    <w:left w:val="nil"/>
                    <w:bottom w:val="single" w:sz="4" w:space="0" w:color="808080"/>
                    <w:right w:val="single" w:sz="4" w:space="0" w:color="808080"/>
                  </w:tcBorders>
                  <w:shd w:val="clear" w:color="auto" w:fill="auto"/>
                  <w:noWrap/>
                  <w:vAlign w:val="bottom"/>
                </w:tcPr>
                <w:p w:rsidR="008E5F02" w:rsidRPr="008E5F02" w:rsidRDefault="008E5F02" w:rsidP="008E5F02">
                  <w:pPr>
                    <w:jc w:val="right"/>
                    <w:rPr>
                      <w:rFonts w:ascii="Arial" w:hAnsi="Arial" w:cs="Arial"/>
                      <w:sz w:val="18"/>
                      <w:szCs w:val="18"/>
                    </w:rPr>
                  </w:pPr>
                  <w:r w:rsidRPr="008E5F02">
                    <w:rPr>
                      <w:rFonts w:ascii="Arial" w:hAnsi="Arial" w:cs="Arial"/>
                      <w:sz w:val="18"/>
                      <w:szCs w:val="18"/>
                    </w:rPr>
                    <w:t>248,36 EUR</w:t>
                  </w:r>
                </w:p>
              </w:tc>
            </w:tr>
            <w:tr w:rsidR="008E5F02" w:rsidRPr="004A613B" w:rsidTr="008E5F02">
              <w:trPr>
                <w:trHeight w:val="300"/>
                <w:jc w:val="center"/>
              </w:trPr>
              <w:tc>
                <w:tcPr>
                  <w:tcW w:w="4117" w:type="dxa"/>
                  <w:tcBorders>
                    <w:top w:val="nil"/>
                    <w:left w:val="single" w:sz="4" w:space="0" w:color="808080"/>
                    <w:bottom w:val="single" w:sz="4" w:space="0" w:color="808080"/>
                    <w:right w:val="single" w:sz="4" w:space="0" w:color="808080"/>
                  </w:tcBorders>
                  <w:shd w:val="clear" w:color="auto" w:fill="auto"/>
                  <w:noWrap/>
                  <w:vAlign w:val="center"/>
                  <w:hideMark/>
                </w:tcPr>
                <w:p w:rsidR="008E5F02" w:rsidRPr="004A613B" w:rsidRDefault="008E5F02" w:rsidP="008E5F02">
                  <w:pPr>
                    <w:rPr>
                      <w:rFonts w:ascii="Arial" w:hAnsi="Arial" w:cs="Arial"/>
                      <w:color w:val="000000" w:themeColor="text1"/>
                      <w:sz w:val="18"/>
                      <w:szCs w:val="18"/>
                    </w:rPr>
                  </w:pPr>
                  <w:r w:rsidRPr="004A613B">
                    <w:rPr>
                      <w:rFonts w:ascii="Arial" w:hAnsi="Arial" w:cs="Arial"/>
                      <w:color w:val="000000" w:themeColor="text1"/>
                      <w:sz w:val="18"/>
                      <w:szCs w:val="18"/>
                    </w:rPr>
                    <w:t>Ukupan iznos za otplatu</w:t>
                  </w:r>
                </w:p>
              </w:tc>
              <w:tc>
                <w:tcPr>
                  <w:tcW w:w="1851" w:type="dxa"/>
                  <w:tcBorders>
                    <w:top w:val="nil"/>
                    <w:left w:val="nil"/>
                    <w:bottom w:val="single" w:sz="4" w:space="0" w:color="808080"/>
                    <w:right w:val="single" w:sz="4" w:space="0" w:color="808080"/>
                  </w:tcBorders>
                  <w:shd w:val="clear" w:color="auto" w:fill="auto"/>
                  <w:noWrap/>
                  <w:vAlign w:val="bottom"/>
                </w:tcPr>
                <w:p w:rsidR="008E5F02" w:rsidRPr="008E5F02" w:rsidRDefault="008E5F02" w:rsidP="008E5F02">
                  <w:pPr>
                    <w:jc w:val="right"/>
                    <w:rPr>
                      <w:rFonts w:ascii="Arial" w:hAnsi="Arial" w:cs="Arial"/>
                      <w:sz w:val="18"/>
                      <w:szCs w:val="18"/>
                    </w:rPr>
                  </w:pPr>
                  <w:r w:rsidRPr="008E5F02">
                    <w:rPr>
                      <w:rFonts w:ascii="Arial" w:hAnsi="Arial" w:cs="Arial"/>
                      <w:sz w:val="18"/>
                      <w:szCs w:val="18"/>
                    </w:rPr>
                    <w:t>29.803,20 EUR</w:t>
                  </w:r>
                </w:p>
              </w:tc>
            </w:tr>
          </w:tbl>
          <w:p w:rsidR="000F381C" w:rsidRDefault="000F381C" w:rsidP="000E5650">
            <w:pPr>
              <w:rPr>
                <w:rFonts w:ascii="Arial" w:hAnsi="Arial" w:cs="Arial"/>
                <w:color w:val="000000" w:themeColor="text1"/>
                <w:sz w:val="18"/>
                <w:szCs w:val="18"/>
              </w:rPr>
            </w:pPr>
          </w:p>
          <w:p w:rsidR="008E5F02" w:rsidRDefault="008E5F02" w:rsidP="000E5650">
            <w:pPr>
              <w:rPr>
                <w:rFonts w:ascii="Arial" w:hAnsi="Arial" w:cs="Arial"/>
                <w:color w:val="000000" w:themeColor="text1"/>
                <w:sz w:val="18"/>
                <w:szCs w:val="18"/>
              </w:rPr>
            </w:pPr>
          </w:p>
          <w:p w:rsidR="008E5F02" w:rsidRDefault="008E5F02" w:rsidP="000E5650">
            <w:pPr>
              <w:rPr>
                <w:rFonts w:ascii="Arial" w:hAnsi="Arial" w:cs="Arial"/>
                <w:color w:val="000000" w:themeColor="text1"/>
                <w:sz w:val="18"/>
                <w:szCs w:val="18"/>
              </w:rPr>
            </w:pPr>
          </w:p>
          <w:p w:rsidR="008E5F02" w:rsidRPr="004A613B" w:rsidRDefault="008E5F02" w:rsidP="000E5650">
            <w:pPr>
              <w:rPr>
                <w:rFonts w:ascii="Arial" w:hAnsi="Arial" w:cs="Arial"/>
                <w:color w:val="000000" w:themeColor="text1"/>
                <w:sz w:val="18"/>
                <w:szCs w:val="18"/>
              </w:rPr>
            </w:pPr>
          </w:p>
          <w:p w:rsidR="000F381C" w:rsidRDefault="000F381C" w:rsidP="000E5650">
            <w:pPr>
              <w:rPr>
                <w:rFonts w:ascii="Arial" w:hAnsi="Arial" w:cs="Arial"/>
                <w:color w:val="000000" w:themeColor="text1"/>
                <w:sz w:val="18"/>
                <w:szCs w:val="18"/>
              </w:rPr>
            </w:pPr>
          </w:p>
          <w:tbl>
            <w:tblPr>
              <w:tblW w:w="7869" w:type="dxa"/>
              <w:jc w:val="center"/>
              <w:tblLook w:val="04A0" w:firstRow="1" w:lastRow="0" w:firstColumn="1" w:lastColumn="0" w:noHBand="0" w:noVBand="1"/>
            </w:tblPr>
            <w:tblGrid>
              <w:gridCol w:w="4962"/>
              <w:gridCol w:w="2907"/>
            </w:tblGrid>
            <w:tr w:rsidR="008E5F02" w:rsidRPr="008E5F02" w:rsidTr="008E5F02">
              <w:trPr>
                <w:trHeight w:val="300"/>
                <w:jc w:val="center"/>
              </w:trPr>
              <w:tc>
                <w:tcPr>
                  <w:tcW w:w="4962" w:type="dxa"/>
                  <w:tcBorders>
                    <w:top w:val="single" w:sz="4" w:space="0" w:color="808080"/>
                    <w:left w:val="single" w:sz="4" w:space="0" w:color="808080"/>
                    <w:bottom w:val="single" w:sz="4" w:space="0" w:color="808080"/>
                    <w:right w:val="single" w:sz="4" w:space="0" w:color="808080"/>
                  </w:tcBorders>
                  <w:noWrap/>
                  <w:vAlign w:val="bottom"/>
                  <w:hideMark/>
                </w:tcPr>
                <w:p w:rsidR="008E5F02" w:rsidRPr="008E5F02" w:rsidRDefault="008E5F02" w:rsidP="008E5F02">
                  <w:pPr>
                    <w:jc w:val="center"/>
                    <w:rPr>
                      <w:rFonts w:ascii="Arial" w:hAnsi="Arial" w:cs="Arial"/>
                      <w:b/>
                      <w:sz w:val="18"/>
                      <w:szCs w:val="18"/>
                      <w:lang w:eastAsia="en-US"/>
                    </w:rPr>
                  </w:pPr>
                  <w:r w:rsidRPr="008E5F02">
                    <w:rPr>
                      <w:rFonts w:ascii="Arial" w:hAnsi="Arial" w:cs="Arial"/>
                      <w:b/>
                      <w:sz w:val="18"/>
                      <w:szCs w:val="18"/>
                    </w:rPr>
                    <w:t>Valuta kredita</w:t>
                  </w:r>
                </w:p>
              </w:tc>
              <w:tc>
                <w:tcPr>
                  <w:tcW w:w="2907" w:type="dxa"/>
                  <w:tcBorders>
                    <w:top w:val="single" w:sz="4" w:space="0" w:color="808080"/>
                    <w:left w:val="nil"/>
                    <w:bottom w:val="single" w:sz="4" w:space="0" w:color="808080"/>
                    <w:right w:val="single" w:sz="4" w:space="0" w:color="808080"/>
                  </w:tcBorders>
                  <w:noWrap/>
                  <w:vAlign w:val="bottom"/>
                  <w:hideMark/>
                </w:tcPr>
                <w:p w:rsidR="008E5F02" w:rsidRPr="008E5F02" w:rsidRDefault="008E5F02" w:rsidP="008E5F02">
                  <w:pPr>
                    <w:jc w:val="center"/>
                    <w:rPr>
                      <w:rFonts w:ascii="Arial" w:hAnsi="Arial" w:cs="Arial"/>
                      <w:b/>
                      <w:sz w:val="18"/>
                      <w:szCs w:val="18"/>
                    </w:rPr>
                  </w:pPr>
                  <w:r w:rsidRPr="008E5F02">
                    <w:rPr>
                      <w:rFonts w:ascii="Arial" w:hAnsi="Arial" w:cs="Arial"/>
                      <w:b/>
                      <w:sz w:val="18"/>
                      <w:szCs w:val="18"/>
                    </w:rPr>
                    <w:t>EUR</w:t>
                  </w:r>
                </w:p>
              </w:tc>
            </w:tr>
            <w:tr w:rsidR="008E5F02" w:rsidRPr="008E5F02" w:rsidTr="008E5F02">
              <w:trPr>
                <w:trHeight w:val="300"/>
                <w:jc w:val="center"/>
              </w:trPr>
              <w:tc>
                <w:tcPr>
                  <w:tcW w:w="4962" w:type="dxa"/>
                  <w:tcBorders>
                    <w:top w:val="nil"/>
                    <w:left w:val="single" w:sz="4" w:space="0" w:color="808080"/>
                    <w:bottom w:val="single" w:sz="4" w:space="0" w:color="808080"/>
                    <w:right w:val="single" w:sz="4" w:space="0" w:color="808080"/>
                  </w:tcBorders>
                  <w:noWrap/>
                  <w:vAlign w:val="bottom"/>
                  <w:hideMark/>
                </w:tcPr>
                <w:p w:rsidR="008E5F02" w:rsidRPr="008E5F02" w:rsidRDefault="008E5F02" w:rsidP="008E5F02">
                  <w:pPr>
                    <w:rPr>
                      <w:rFonts w:ascii="Arial" w:hAnsi="Arial" w:cs="Arial"/>
                      <w:sz w:val="18"/>
                      <w:szCs w:val="18"/>
                    </w:rPr>
                  </w:pPr>
                  <w:r w:rsidRPr="008E5F02">
                    <w:rPr>
                      <w:rFonts w:ascii="Arial" w:hAnsi="Arial" w:cs="Arial"/>
                      <w:sz w:val="18"/>
                      <w:szCs w:val="18"/>
                    </w:rPr>
                    <w:t>Glavnica kredita</w:t>
                  </w:r>
                </w:p>
              </w:tc>
              <w:tc>
                <w:tcPr>
                  <w:tcW w:w="2907" w:type="dxa"/>
                  <w:tcBorders>
                    <w:top w:val="nil"/>
                    <w:left w:val="nil"/>
                    <w:bottom w:val="single" w:sz="4" w:space="0" w:color="808080"/>
                    <w:right w:val="single" w:sz="4" w:space="0" w:color="808080"/>
                  </w:tcBorders>
                  <w:noWrap/>
                  <w:vAlign w:val="bottom"/>
                  <w:hideMark/>
                </w:tcPr>
                <w:p w:rsidR="008E5F02" w:rsidRPr="008E5F02" w:rsidRDefault="008E5F02" w:rsidP="008E5F02">
                  <w:pPr>
                    <w:jc w:val="right"/>
                    <w:rPr>
                      <w:rFonts w:ascii="Arial" w:hAnsi="Arial" w:cs="Arial"/>
                      <w:sz w:val="18"/>
                      <w:szCs w:val="18"/>
                    </w:rPr>
                  </w:pPr>
                  <w:r w:rsidRPr="008E5F02">
                    <w:rPr>
                      <w:rFonts w:ascii="Arial" w:hAnsi="Arial" w:cs="Arial"/>
                      <w:sz w:val="18"/>
                      <w:szCs w:val="18"/>
                    </w:rPr>
                    <w:t>25.000,00 EUR</w:t>
                  </w:r>
                </w:p>
              </w:tc>
            </w:tr>
            <w:tr w:rsidR="008E5F02" w:rsidRPr="008E5F02" w:rsidTr="008E5F02">
              <w:trPr>
                <w:trHeight w:val="300"/>
                <w:jc w:val="center"/>
              </w:trPr>
              <w:tc>
                <w:tcPr>
                  <w:tcW w:w="4962" w:type="dxa"/>
                  <w:tcBorders>
                    <w:top w:val="nil"/>
                    <w:left w:val="single" w:sz="4" w:space="0" w:color="808080"/>
                    <w:bottom w:val="single" w:sz="4" w:space="0" w:color="808080"/>
                    <w:right w:val="single" w:sz="4" w:space="0" w:color="808080"/>
                  </w:tcBorders>
                  <w:noWrap/>
                  <w:vAlign w:val="bottom"/>
                  <w:hideMark/>
                </w:tcPr>
                <w:p w:rsidR="008E5F02" w:rsidRPr="008E5F02" w:rsidRDefault="008E5F02" w:rsidP="008E5F02">
                  <w:pPr>
                    <w:rPr>
                      <w:rFonts w:ascii="Arial" w:hAnsi="Arial" w:cs="Arial"/>
                      <w:sz w:val="18"/>
                      <w:szCs w:val="18"/>
                    </w:rPr>
                  </w:pPr>
                  <w:r w:rsidRPr="008E5F02">
                    <w:rPr>
                      <w:rFonts w:ascii="Arial" w:hAnsi="Arial" w:cs="Arial"/>
                      <w:sz w:val="18"/>
                      <w:szCs w:val="18"/>
                    </w:rPr>
                    <w:lastRenderedPageBreak/>
                    <w:t>Razdoblje otplate uz fiksnu kamatnu stopu</w:t>
                  </w:r>
                </w:p>
              </w:tc>
              <w:tc>
                <w:tcPr>
                  <w:tcW w:w="2907" w:type="dxa"/>
                  <w:tcBorders>
                    <w:top w:val="nil"/>
                    <w:left w:val="nil"/>
                    <w:bottom w:val="single" w:sz="4" w:space="0" w:color="808080"/>
                    <w:right w:val="single" w:sz="4" w:space="0" w:color="808080"/>
                  </w:tcBorders>
                  <w:noWrap/>
                  <w:vAlign w:val="bottom"/>
                  <w:hideMark/>
                </w:tcPr>
                <w:p w:rsidR="008E5F02" w:rsidRPr="008E5F02" w:rsidRDefault="008E5F02" w:rsidP="008E5F02">
                  <w:pPr>
                    <w:jc w:val="right"/>
                    <w:rPr>
                      <w:rFonts w:ascii="Arial" w:hAnsi="Arial" w:cs="Arial"/>
                      <w:sz w:val="18"/>
                      <w:szCs w:val="18"/>
                    </w:rPr>
                  </w:pPr>
                  <w:r w:rsidRPr="008E5F02">
                    <w:rPr>
                      <w:rFonts w:ascii="Arial" w:hAnsi="Arial" w:cs="Arial"/>
                      <w:sz w:val="18"/>
                      <w:szCs w:val="18"/>
                    </w:rPr>
                    <w:t>10 godine</w:t>
                  </w:r>
                </w:p>
              </w:tc>
            </w:tr>
            <w:tr w:rsidR="008E5F02" w:rsidRPr="008E5F02" w:rsidTr="008E5F02">
              <w:trPr>
                <w:trHeight w:val="300"/>
                <w:jc w:val="center"/>
              </w:trPr>
              <w:tc>
                <w:tcPr>
                  <w:tcW w:w="4962" w:type="dxa"/>
                  <w:tcBorders>
                    <w:top w:val="nil"/>
                    <w:left w:val="single" w:sz="4" w:space="0" w:color="808080"/>
                    <w:bottom w:val="single" w:sz="4" w:space="0" w:color="808080"/>
                    <w:right w:val="single" w:sz="4" w:space="0" w:color="808080"/>
                  </w:tcBorders>
                  <w:noWrap/>
                  <w:vAlign w:val="bottom"/>
                  <w:hideMark/>
                </w:tcPr>
                <w:p w:rsidR="008E5F02" w:rsidRPr="008E5F02" w:rsidRDefault="008E5F02" w:rsidP="008E5F02">
                  <w:pPr>
                    <w:rPr>
                      <w:rFonts w:ascii="Arial" w:hAnsi="Arial" w:cs="Arial"/>
                      <w:sz w:val="18"/>
                      <w:szCs w:val="18"/>
                    </w:rPr>
                  </w:pPr>
                  <w:r w:rsidRPr="008E5F02">
                    <w:rPr>
                      <w:rFonts w:ascii="Arial" w:hAnsi="Arial" w:cs="Arial"/>
                      <w:sz w:val="18"/>
                      <w:szCs w:val="18"/>
                    </w:rPr>
                    <w:t>Razdoblje otplate uz promjenjivu kamatnu stopu</w:t>
                  </w:r>
                </w:p>
              </w:tc>
              <w:tc>
                <w:tcPr>
                  <w:tcW w:w="2907" w:type="dxa"/>
                  <w:tcBorders>
                    <w:top w:val="nil"/>
                    <w:left w:val="nil"/>
                    <w:bottom w:val="single" w:sz="4" w:space="0" w:color="808080"/>
                    <w:right w:val="single" w:sz="4" w:space="0" w:color="808080"/>
                  </w:tcBorders>
                  <w:noWrap/>
                  <w:vAlign w:val="bottom"/>
                  <w:hideMark/>
                </w:tcPr>
                <w:p w:rsidR="008E5F02" w:rsidRPr="008E5F02" w:rsidRDefault="008E5F02" w:rsidP="008E5F02">
                  <w:pPr>
                    <w:jc w:val="right"/>
                    <w:rPr>
                      <w:rFonts w:ascii="Arial" w:hAnsi="Arial" w:cs="Arial"/>
                      <w:sz w:val="18"/>
                      <w:szCs w:val="18"/>
                    </w:rPr>
                  </w:pPr>
                  <w:r w:rsidRPr="008E5F02">
                    <w:rPr>
                      <w:rFonts w:ascii="Arial" w:hAnsi="Arial" w:cs="Arial"/>
                      <w:sz w:val="18"/>
                      <w:szCs w:val="18"/>
                    </w:rPr>
                    <w:t>20 godina</w:t>
                  </w:r>
                </w:p>
              </w:tc>
            </w:tr>
            <w:tr w:rsidR="008E5F02" w:rsidRPr="008E5F02" w:rsidTr="008E5F02">
              <w:trPr>
                <w:trHeight w:val="300"/>
                <w:jc w:val="center"/>
              </w:trPr>
              <w:tc>
                <w:tcPr>
                  <w:tcW w:w="4962" w:type="dxa"/>
                  <w:tcBorders>
                    <w:top w:val="nil"/>
                    <w:left w:val="single" w:sz="4" w:space="0" w:color="808080"/>
                    <w:bottom w:val="single" w:sz="4" w:space="0" w:color="808080"/>
                    <w:right w:val="single" w:sz="4" w:space="0" w:color="808080"/>
                  </w:tcBorders>
                  <w:noWrap/>
                  <w:vAlign w:val="bottom"/>
                  <w:hideMark/>
                </w:tcPr>
                <w:p w:rsidR="008E5F02" w:rsidRPr="008E5F02" w:rsidRDefault="008E5F02" w:rsidP="008E5F02">
                  <w:pPr>
                    <w:rPr>
                      <w:rFonts w:ascii="Arial" w:hAnsi="Arial" w:cs="Arial"/>
                      <w:sz w:val="18"/>
                      <w:szCs w:val="18"/>
                    </w:rPr>
                  </w:pPr>
                  <w:r w:rsidRPr="008E5F02">
                    <w:rPr>
                      <w:rFonts w:ascii="Arial" w:hAnsi="Arial" w:cs="Arial"/>
                      <w:sz w:val="18"/>
                      <w:szCs w:val="18"/>
                    </w:rPr>
                    <w:t xml:space="preserve">Naknada </w:t>
                  </w:r>
                </w:p>
              </w:tc>
              <w:tc>
                <w:tcPr>
                  <w:tcW w:w="2907" w:type="dxa"/>
                  <w:tcBorders>
                    <w:top w:val="nil"/>
                    <w:left w:val="nil"/>
                    <w:bottom w:val="single" w:sz="4" w:space="0" w:color="808080"/>
                    <w:right w:val="single" w:sz="4" w:space="0" w:color="808080"/>
                  </w:tcBorders>
                  <w:noWrap/>
                  <w:vAlign w:val="bottom"/>
                  <w:hideMark/>
                </w:tcPr>
                <w:p w:rsidR="008E5F02" w:rsidRPr="008E5F02" w:rsidRDefault="008E5F02" w:rsidP="008E5F02">
                  <w:pPr>
                    <w:jc w:val="right"/>
                    <w:rPr>
                      <w:rFonts w:ascii="Arial" w:hAnsi="Arial" w:cs="Arial"/>
                      <w:sz w:val="18"/>
                      <w:szCs w:val="18"/>
                    </w:rPr>
                  </w:pPr>
                  <w:r w:rsidRPr="008E5F02">
                    <w:rPr>
                      <w:rFonts w:ascii="Arial" w:hAnsi="Arial" w:cs="Arial"/>
                      <w:sz w:val="18"/>
                      <w:szCs w:val="18"/>
                    </w:rPr>
                    <w:t>0,5%</w:t>
                  </w:r>
                </w:p>
              </w:tc>
            </w:tr>
            <w:tr w:rsidR="008E5F02" w:rsidRPr="008E5F02" w:rsidTr="008E5F02">
              <w:trPr>
                <w:trHeight w:val="300"/>
                <w:jc w:val="center"/>
              </w:trPr>
              <w:tc>
                <w:tcPr>
                  <w:tcW w:w="4962" w:type="dxa"/>
                  <w:tcBorders>
                    <w:top w:val="nil"/>
                    <w:left w:val="single" w:sz="4" w:space="0" w:color="808080"/>
                    <w:bottom w:val="single" w:sz="4" w:space="0" w:color="808080"/>
                    <w:right w:val="single" w:sz="4" w:space="0" w:color="808080"/>
                  </w:tcBorders>
                  <w:noWrap/>
                  <w:vAlign w:val="bottom"/>
                  <w:hideMark/>
                </w:tcPr>
                <w:p w:rsidR="008E5F02" w:rsidRPr="008E5F02" w:rsidRDefault="008E5F02" w:rsidP="008E5F02">
                  <w:pPr>
                    <w:rPr>
                      <w:rFonts w:ascii="Arial" w:hAnsi="Arial" w:cs="Arial"/>
                      <w:sz w:val="18"/>
                      <w:szCs w:val="18"/>
                    </w:rPr>
                  </w:pPr>
                  <w:r w:rsidRPr="008E5F02">
                    <w:rPr>
                      <w:rFonts w:ascii="Arial" w:hAnsi="Arial" w:cs="Arial"/>
                      <w:sz w:val="18"/>
                      <w:szCs w:val="18"/>
                    </w:rPr>
                    <w:t>Iznos naknade za odobrenje kredita</w:t>
                  </w:r>
                </w:p>
              </w:tc>
              <w:tc>
                <w:tcPr>
                  <w:tcW w:w="2907" w:type="dxa"/>
                  <w:tcBorders>
                    <w:top w:val="nil"/>
                    <w:left w:val="nil"/>
                    <w:bottom w:val="single" w:sz="4" w:space="0" w:color="808080"/>
                    <w:right w:val="single" w:sz="4" w:space="0" w:color="808080"/>
                  </w:tcBorders>
                  <w:noWrap/>
                  <w:vAlign w:val="bottom"/>
                  <w:hideMark/>
                </w:tcPr>
                <w:p w:rsidR="008E5F02" w:rsidRPr="008E5F02" w:rsidRDefault="008E5F02" w:rsidP="008E5F02">
                  <w:pPr>
                    <w:jc w:val="right"/>
                    <w:rPr>
                      <w:rFonts w:ascii="Arial" w:hAnsi="Arial" w:cs="Arial"/>
                      <w:sz w:val="18"/>
                      <w:szCs w:val="18"/>
                    </w:rPr>
                  </w:pPr>
                  <w:r w:rsidRPr="008E5F02">
                    <w:rPr>
                      <w:rFonts w:ascii="Arial" w:hAnsi="Arial" w:cs="Arial"/>
                      <w:sz w:val="18"/>
                      <w:szCs w:val="18"/>
                    </w:rPr>
                    <w:t>125,00 EUR</w:t>
                  </w:r>
                </w:p>
              </w:tc>
            </w:tr>
            <w:tr w:rsidR="008E5F02" w:rsidRPr="008E5F02" w:rsidTr="008E5F02">
              <w:trPr>
                <w:trHeight w:val="300"/>
                <w:jc w:val="center"/>
              </w:trPr>
              <w:tc>
                <w:tcPr>
                  <w:tcW w:w="4962" w:type="dxa"/>
                  <w:tcBorders>
                    <w:top w:val="nil"/>
                    <w:left w:val="single" w:sz="4" w:space="0" w:color="808080"/>
                    <w:bottom w:val="single" w:sz="4" w:space="0" w:color="808080"/>
                    <w:right w:val="single" w:sz="4" w:space="0" w:color="808080"/>
                  </w:tcBorders>
                  <w:noWrap/>
                  <w:vAlign w:val="bottom"/>
                  <w:hideMark/>
                </w:tcPr>
                <w:p w:rsidR="008E5F02" w:rsidRPr="008E5F02" w:rsidRDefault="008E5F02" w:rsidP="008E5F02">
                  <w:pPr>
                    <w:rPr>
                      <w:rFonts w:ascii="Arial" w:hAnsi="Arial" w:cs="Arial"/>
                      <w:sz w:val="18"/>
                      <w:szCs w:val="18"/>
                    </w:rPr>
                  </w:pPr>
                  <w:r w:rsidRPr="008E5F02">
                    <w:rPr>
                      <w:rFonts w:ascii="Arial" w:hAnsi="Arial" w:cs="Arial"/>
                      <w:sz w:val="18"/>
                      <w:szCs w:val="18"/>
                    </w:rPr>
                    <w:t>Fiksna kamatna stopa</w:t>
                  </w:r>
                </w:p>
              </w:tc>
              <w:tc>
                <w:tcPr>
                  <w:tcW w:w="2907" w:type="dxa"/>
                  <w:tcBorders>
                    <w:top w:val="nil"/>
                    <w:left w:val="nil"/>
                    <w:bottom w:val="single" w:sz="4" w:space="0" w:color="808080"/>
                    <w:right w:val="single" w:sz="4" w:space="0" w:color="808080"/>
                  </w:tcBorders>
                  <w:noWrap/>
                  <w:vAlign w:val="bottom"/>
                  <w:hideMark/>
                </w:tcPr>
                <w:p w:rsidR="008E5F02" w:rsidRPr="008E5F02" w:rsidRDefault="008E5F02" w:rsidP="008E5F02">
                  <w:pPr>
                    <w:jc w:val="right"/>
                    <w:rPr>
                      <w:rFonts w:ascii="Arial" w:hAnsi="Arial" w:cs="Arial"/>
                      <w:sz w:val="18"/>
                      <w:szCs w:val="18"/>
                    </w:rPr>
                  </w:pPr>
                  <w:r w:rsidRPr="008E5F02">
                    <w:rPr>
                      <w:rFonts w:ascii="Arial" w:hAnsi="Arial" w:cs="Arial"/>
                      <w:sz w:val="18"/>
                      <w:szCs w:val="18"/>
                    </w:rPr>
                    <w:t xml:space="preserve">3,6% </w:t>
                  </w:r>
                </w:p>
              </w:tc>
            </w:tr>
            <w:tr w:rsidR="008E5F02" w:rsidRPr="008E5F02" w:rsidTr="008E5F02">
              <w:trPr>
                <w:trHeight w:val="300"/>
                <w:jc w:val="center"/>
              </w:trPr>
              <w:tc>
                <w:tcPr>
                  <w:tcW w:w="4962" w:type="dxa"/>
                  <w:tcBorders>
                    <w:top w:val="nil"/>
                    <w:left w:val="single" w:sz="4" w:space="0" w:color="808080"/>
                    <w:bottom w:val="single" w:sz="4" w:space="0" w:color="808080"/>
                    <w:right w:val="single" w:sz="4" w:space="0" w:color="808080"/>
                  </w:tcBorders>
                  <w:noWrap/>
                  <w:vAlign w:val="bottom"/>
                  <w:hideMark/>
                </w:tcPr>
                <w:p w:rsidR="008E5F02" w:rsidRPr="008E5F02" w:rsidRDefault="008E5F02" w:rsidP="008E5F02">
                  <w:pPr>
                    <w:rPr>
                      <w:rFonts w:ascii="Arial" w:hAnsi="Arial" w:cs="Arial"/>
                      <w:sz w:val="18"/>
                      <w:szCs w:val="18"/>
                    </w:rPr>
                  </w:pPr>
                  <w:r w:rsidRPr="008E5F02">
                    <w:rPr>
                      <w:rFonts w:ascii="Arial" w:hAnsi="Arial" w:cs="Arial"/>
                      <w:sz w:val="18"/>
                      <w:szCs w:val="18"/>
                    </w:rPr>
                    <w:t>Promjenjiva kamatna stopa</w:t>
                  </w:r>
                </w:p>
              </w:tc>
              <w:tc>
                <w:tcPr>
                  <w:tcW w:w="2907" w:type="dxa"/>
                  <w:tcBorders>
                    <w:top w:val="nil"/>
                    <w:left w:val="nil"/>
                    <w:bottom w:val="single" w:sz="4" w:space="0" w:color="808080"/>
                    <w:right w:val="single" w:sz="4" w:space="0" w:color="808080"/>
                  </w:tcBorders>
                  <w:noWrap/>
                  <w:vAlign w:val="bottom"/>
                  <w:hideMark/>
                </w:tcPr>
                <w:p w:rsidR="008E5F02" w:rsidRPr="008E5F02" w:rsidRDefault="008E5F02" w:rsidP="008E5F02">
                  <w:pPr>
                    <w:jc w:val="right"/>
                    <w:rPr>
                      <w:rFonts w:ascii="Arial" w:hAnsi="Arial" w:cs="Arial"/>
                      <w:sz w:val="18"/>
                      <w:szCs w:val="18"/>
                    </w:rPr>
                  </w:pPr>
                  <w:r w:rsidRPr="008E5F02">
                    <w:rPr>
                      <w:rFonts w:ascii="Arial" w:hAnsi="Arial" w:cs="Arial"/>
                      <w:sz w:val="18"/>
                      <w:szCs w:val="18"/>
                    </w:rPr>
                    <w:t>6M EURIBOR + fiksna marža 1,19 postotna boda za preostalo razdoblje otplate</w:t>
                  </w:r>
                </w:p>
              </w:tc>
            </w:tr>
            <w:tr w:rsidR="008E5F02" w:rsidRPr="008E5F02" w:rsidTr="008E5F02">
              <w:trPr>
                <w:trHeight w:val="300"/>
                <w:jc w:val="center"/>
              </w:trPr>
              <w:tc>
                <w:tcPr>
                  <w:tcW w:w="4962" w:type="dxa"/>
                  <w:tcBorders>
                    <w:top w:val="nil"/>
                    <w:left w:val="single" w:sz="4" w:space="0" w:color="808080"/>
                    <w:bottom w:val="single" w:sz="4" w:space="0" w:color="808080"/>
                    <w:right w:val="single" w:sz="4" w:space="0" w:color="808080"/>
                  </w:tcBorders>
                  <w:noWrap/>
                  <w:vAlign w:val="bottom"/>
                  <w:hideMark/>
                </w:tcPr>
                <w:p w:rsidR="008E5F02" w:rsidRPr="008E5F02" w:rsidRDefault="008E5F02" w:rsidP="008E5F02">
                  <w:pPr>
                    <w:rPr>
                      <w:rFonts w:ascii="Arial" w:hAnsi="Arial" w:cs="Arial"/>
                      <w:sz w:val="18"/>
                      <w:szCs w:val="18"/>
                    </w:rPr>
                  </w:pPr>
                  <w:r w:rsidRPr="008E5F02">
                    <w:rPr>
                      <w:rFonts w:ascii="Arial" w:hAnsi="Arial" w:cs="Arial"/>
                      <w:sz w:val="18"/>
                      <w:szCs w:val="18"/>
                    </w:rPr>
                    <w:t>Efektivna kamatna stopa (EKS)</w:t>
                  </w:r>
                </w:p>
              </w:tc>
              <w:tc>
                <w:tcPr>
                  <w:tcW w:w="2907" w:type="dxa"/>
                  <w:tcBorders>
                    <w:top w:val="nil"/>
                    <w:left w:val="nil"/>
                    <w:bottom w:val="single" w:sz="4" w:space="0" w:color="808080"/>
                    <w:right w:val="single" w:sz="4" w:space="0" w:color="808080"/>
                  </w:tcBorders>
                  <w:noWrap/>
                  <w:vAlign w:val="bottom"/>
                  <w:hideMark/>
                </w:tcPr>
                <w:p w:rsidR="008E5F02" w:rsidRPr="008E5F02" w:rsidRDefault="008E5F02" w:rsidP="008E5F02">
                  <w:pPr>
                    <w:jc w:val="right"/>
                    <w:rPr>
                      <w:rFonts w:ascii="Arial" w:hAnsi="Arial" w:cs="Arial"/>
                      <w:color w:val="FF0000"/>
                      <w:sz w:val="18"/>
                      <w:szCs w:val="18"/>
                    </w:rPr>
                  </w:pPr>
                  <w:r w:rsidRPr="008E5F02">
                    <w:rPr>
                      <w:rFonts w:ascii="Arial" w:hAnsi="Arial" w:cs="Arial"/>
                      <w:color w:val="FF0000"/>
                      <w:sz w:val="18"/>
                      <w:szCs w:val="18"/>
                    </w:rPr>
                    <w:t>3,70%*</w:t>
                  </w:r>
                </w:p>
              </w:tc>
            </w:tr>
            <w:tr w:rsidR="008E5F02" w:rsidRPr="008E5F02" w:rsidTr="008E5F02">
              <w:trPr>
                <w:trHeight w:val="300"/>
                <w:jc w:val="center"/>
              </w:trPr>
              <w:tc>
                <w:tcPr>
                  <w:tcW w:w="4962" w:type="dxa"/>
                  <w:tcBorders>
                    <w:top w:val="nil"/>
                    <w:left w:val="single" w:sz="4" w:space="0" w:color="808080"/>
                    <w:bottom w:val="single" w:sz="4" w:space="0" w:color="808080"/>
                    <w:right w:val="single" w:sz="4" w:space="0" w:color="808080"/>
                  </w:tcBorders>
                  <w:noWrap/>
                  <w:vAlign w:val="bottom"/>
                  <w:hideMark/>
                </w:tcPr>
                <w:p w:rsidR="008E5F02" w:rsidRPr="008E5F02" w:rsidRDefault="008E5F02" w:rsidP="008E5F02">
                  <w:pPr>
                    <w:rPr>
                      <w:rFonts w:ascii="Arial" w:hAnsi="Arial" w:cs="Arial"/>
                      <w:sz w:val="18"/>
                      <w:szCs w:val="18"/>
                    </w:rPr>
                  </w:pPr>
                  <w:r w:rsidRPr="008E5F02">
                    <w:rPr>
                      <w:rFonts w:ascii="Arial" w:hAnsi="Arial" w:cs="Arial"/>
                      <w:sz w:val="18"/>
                      <w:szCs w:val="18"/>
                    </w:rPr>
                    <w:t>Ukupan iznos kamate za razdoblje otplate</w:t>
                  </w:r>
                </w:p>
              </w:tc>
              <w:tc>
                <w:tcPr>
                  <w:tcW w:w="2907" w:type="dxa"/>
                  <w:tcBorders>
                    <w:top w:val="nil"/>
                    <w:left w:val="nil"/>
                    <w:bottom w:val="single" w:sz="4" w:space="0" w:color="808080"/>
                    <w:right w:val="single" w:sz="4" w:space="0" w:color="808080"/>
                  </w:tcBorders>
                  <w:noWrap/>
                  <w:vAlign w:val="bottom"/>
                  <w:hideMark/>
                </w:tcPr>
                <w:p w:rsidR="008E5F02" w:rsidRPr="008E5F02" w:rsidRDefault="008E5F02" w:rsidP="008E5F02">
                  <w:pPr>
                    <w:jc w:val="right"/>
                    <w:rPr>
                      <w:rFonts w:ascii="Arial" w:hAnsi="Arial" w:cs="Arial"/>
                      <w:color w:val="FF0000"/>
                      <w:sz w:val="18"/>
                      <w:szCs w:val="18"/>
                    </w:rPr>
                  </w:pPr>
                  <w:r w:rsidRPr="008E5F02">
                    <w:rPr>
                      <w:rFonts w:ascii="Arial" w:hAnsi="Arial" w:cs="Arial"/>
                      <w:color w:val="FF0000"/>
                      <w:sz w:val="18"/>
                      <w:szCs w:val="18"/>
                    </w:rPr>
                    <w:t>15.914,00 EUR</w:t>
                  </w:r>
                </w:p>
              </w:tc>
            </w:tr>
            <w:tr w:rsidR="008E5F02" w:rsidRPr="008E5F02" w:rsidTr="008E5F02">
              <w:trPr>
                <w:trHeight w:val="300"/>
                <w:jc w:val="center"/>
              </w:trPr>
              <w:tc>
                <w:tcPr>
                  <w:tcW w:w="4962" w:type="dxa"/>
                  <w:tcBorders>
                    <w:top w:val="nil"/>
                    <w:left w:val="single" w:sz="4" w:space="0" w:color="808080"/>
                    <w:bottom w:val="single" w:sz="4" w:space="0" w:color="808080"/>
                    <w:right w:val="single" w:sz="4" w:space="0" w:color="808080"/>
                  </w:tcBorders>
                  <w:noWrap/>
                  <w:vAlign w:val="bottom"/>
                  <w:hideMark/>
                </w:tcPr>
                <w:p w:rsidR="008E5F02" w:rsidRPr="008E5F02" w:rsidRDefault="008E5F02" w:rsidP="008E5F02">
                  <w:pPr>
                    <w:rPr>
                      <w:rFonts w:ascii="Arial" w:hAnsi="Arial" w:cs="Arial"/>
                      <w:sz w:val="18"/>
                      <w:szCs w:val="18"/>
                    </w:rPr>
                  </w:pPr>
                  <w:r w:rsidRPr="008E5F02">
                    <w:rPr>
                      <w:rFonts w:ascii="Arial" w:hAnsi="Arial" w:cs="Arial"/>
                      <w:sz w:val="18"/>
                      <w:szCs w:val="18"/>
                    </w:rPr>
                    <w:t xml:space="preserve">Mjesečni anuitet </w:t>
                  </w:r>
                </w:p>
              </w:tc>
              <w:tc>
                <w:tcPr>
                  <w:tcW w:w="2907" w:type="dxa"/>
                  <w:tcBorders>
                    <w:top w:val="nil"/>
                    <w:left w:val="nil"/>
                    <w:bottom w:val="single" w:sz="4" w:space="0" w:color="808080"/>
                    <w:right w:val="single" w:sz="4" w:space="0" w:color="808080"/>
                  </w:tcBorders>
                  <w:noWrap/>
                  <w:vAlign w:val="bottom"/>
                  <w:hideMark/>
                </w:tcPr>
                <w:p w:rsidR="008E5F02" w:rsidRPr="008E5F02" w:rsidRDefault="008E5F02" w:rsidP="008E5F02">
                  <w:pPr>
                    <w:jc w:val="right"/>
                    <w:rPr>
                      <w:rFonts w:ascii="Arial" w:hAnsi="Arial" w:cs="Arial"/>
                      <w:color w:val="FF0000"/>
                      <w:sz w:val="18"/>
                      <w:szCs w:val="18"/>
                    </w:rPr>
                  </w:pPr>
                  <w:r w:rsidRPr="008E5F02">
                    <w:rPr>
                      <w:rFonts w:ascii="Arial" w:hAnsi="Arial" w:cs="Arial"/>
                      <w:color w:val="FF0000"/>
                      <w:sz w:val="18"/>
                      <w:szCs w:val="18"/>
                    </w:rPr>
                    <w:t>113,65 EUR</w:t>
                  </w:r>
                </w:p>
              </w:tc>
            </w:tr>
            <w:tr w:rsidR="008E5F02" w:rsidRPr="008E5F02" w:rsidTr="008E5F02">
              <w:trPr>
                <w:trHeight w:val="300"/>
                <w:jc w:val="center"/>
              </w:trPr>
              <w:tc>
                <w:tcPr>
                  <w:tcW w:w="4962" w:type="dxa"/>
                  <w:tcBorders>
                    <w:top w:val="nil"/>
                    <w:left w:val="single" w:sz="4" w:space="0" w:color="808080"/>
                    <w:bottom w:val="single" w:sz="4" w:space="0" w:color="808080"/>
                    <w:right w:val="single" w:sz="4" w:space="0" w:color="808080"/>
                  </w:tcBorders>
                  <w:noWrap/>
                  <w:vAlign w:val="bottom"/>
                  <w:hideMark/>
                </w:tcPr>
                <w:p w:rsidR="008E5F02" w:rsidRPr="008E5F02" w:rsidRDefault="008E5F02" w:rsidP="008E5F02">
                  <w:pPr>
                    <w:rPr>
                      <w:rFonts w:ascii="Arial" w:hAnsi="Arial" w:cs="Arial"/>
                      <w:sz w:val="18"/>
                      <w:szCs w:val="18"/>
                    </w:rPr>
                  </w:pPr>
                  <w:r w:rsidRPr="008E5F02">
                    <w:rPr>
                      <w:rFonts w:ascii="Arial" w:hAnsi="Arial" w:cs="Arial"/>
                      <w:sz w:val="18"/>
                      <w:szCs w:val="18"/>
                    </w:rPr>
                    <w:t>Ukupan iznos za otplatu</w:t>
                  </w:r>
                </w:p>
              </w:tc>
              <w:tc>
                <w:tcPr>
                  <w:tcW w:w="2907" w:type="dxa"/>
                  <w:tcBorders>
                    <w:top w:val="nil"/>
                    <w:left w:val="nil"/>
                    <w:bottom w:val="single" w:sz="4" w:space="0" w:color="808080"/>
                    <w:right w:val="single" w:sz="4" w:space="0" w:color="808080"/>
                  </w:tcBorders>
                  <w:noWrap/>
                  <w:vAlign w:val="bottom"/>
                  <w:hideMark/>
                </w:tcPr>
                <w:p w:rsidR="008E5F02" w:rsidRPr="008E5F02" w:rsidRDefault="008E5F02" w:rsidP="008E5F02">
                  <w:pPr>
                    <w:jc w:val="right"/>
                    <w:rPr>
                      <w:rFonts w:ascii="Arial" w:hAnsi="Arial" w:cs="Arial"/>
                      <w:color w:val="FF0000"/>
                      <w:sz w:val="18"/>
                      <w:szCs w:val="18"/>
                    </w:rPr>
                  </w:pPr>
                  <w:r w:rsidRPr="008E5F02">
                    <w:rPr>
                      <w:rFonts w:ascii="Arial" w:hAnsi="Arial" w:cs="Arial"/>
                      <w:color w:val="FF0000"/>
                      <w:sz w:val="18"/>
                      <w:szCs w:val="18"/>
                    </w:rPr>
                    <w:t>40.914,00 EUR</w:t>
                  </w:r>
                </w:p>
              </w:tc>
            </w:tr>
          </w:tbl>
          <w:p w:rsidR="008E5F02" w:rsidRDefault="008E5F02" w:rsidP="000E5650">
            <w:pPr>
              <w:rPr>
                <w:rFonts w:ascii="Arial" w:hAnsi="Arial" w:cs="Arial"/>
                <w:color w:val="000000" w:themeColor="text1"/>
                <w:sz w:val="18"/>
                <w:szCs w:val="18"/>
              </w:rPr>
            </w:pPr>
          </w:p>
          <w:p w:rsidR="000E5650" w:rsidRPr="004A613B" w:rsidRDefault="008E5F02" w:rsidP="000E5650">
            <w:pPr>
              <w:rPr>
                <w:rFonts w:ascii="Arial" w:hAnsi="Arial" w:cs="Arial"/>
                <w:color w:val="000000" w:themeColor="text1"/>
                <w:sz w:val="18"/>
                <w:szCs w:val="18"/>
              </w:rPr>
            </w:pPr>
            <w:r w:rsidRPr="008E5F02">
              <w:rPr>
                <w:rFonts w:ascii="Arial" w:hAnsi="Arial" w:cs="Arial"/>
                <w:color w:val="000000" w:themeColor="text1"/>
                <w:sz w:val="18"/>
                <w:szCs w:val="18"/>
              </w:rPr>
              <w:t xml:space="preserve">*EKS sadržava obračun </w:t>
            </w:r>
            <w:proofErr w:type="spellStart"/>
            <w:r w:rsidRPr="008E5F02">
              <w:rPr>
                <w:rFonts w:ascii="Arial" w:hAnsi="Arial" w:cs="Arial"/>
                <w:color w:val="000000" w:themeColor="text1"/>
                <w:sz w:val="18"/>
                <w:szCs w:val="18"/>
              </w:rPr>
              <w:t>interkalarne</w:t>
            </w:r>
            <w:proofErr w:type="spellEnd"/>
            <w:r w:rsidRPr="008E5F02">
              <w:rPr>
                <w:rFonts w:ascii="Arial" w:hAnsi="Arial" w:cs="Arial"/>
                <w:color w:val="000000" w:themeColor="text1"/>
                <w:sz w:val="18"/>
                <w:szCs w:val="18"/>
              </w:rPr>
              <w:t xml:space="preserve"> kamate za jedan mjesec (početak kredita 1.1.2023., kreće u korištenje 1.2.2023. i prva rata otplate 1.3.2023.), isplatu kredita prvog u mjesecu, trošak vođenja tekućeg računa za jedan mjesec u slučaju da je tekući račun uvjet za isplatu kredita 1,45 eura i trošak naknade za odobrenje 0,5%. U izračunu je prikazana visina EKS pod pretpostavkom da je kredit iskorišten u cijelosti s prvim u mjesecu.</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FF5135">
            <w:pPr>
              <w:rPr>
                <w:rFonts w:ascii="Arial" w:hAnsi="Arial" w:cs="Arial"/>
                <w:color w:val="000000" w:themeColor="text1"/>
                <w:sz w:val="18"/>
                <w:szCs w:val="18"/>
              </w:rPr>
            </w:pPr>
            <w:r w:rsidRPr="004A613B">
              <w:rPr>
                <w:rFonts w:ascii="Arial" w:hAnsi="Arial" w:cs="Arial"/>
                <w:color w:val="000000" w:themeColor="text1"/>
                <w:sz w:val="18"/>
                <w:szCs w:val="18"/>
              </w:rPr>
              <w:lastRenderedPageBreak/>
              <w:t>Rizik promjene tečaja valute</w:t>
            </w:r>
          </w:p>
        </w:tc>
        <w:tc>
          <w:tcPr>
            <w:tcW w:w="8228" w:type="dxa"/>
            <w:tcBorders>
              <w:top w:val="single" w:sz="4" w:space="0" w:color="000000"/>
              <w:left w:val="single" w:sz="4" w:space="0" w:color="000000"/>
              <w:bottom w:val="single" w:sz="4" w:space="0" w:color="000000"/>
              <w:right w:val="single" w:sz="4" w:space="0" w:color="000000"/>
            </w:tcBorders>
          </w:tcPr>
          <w:p w:rsidR="00EB5CB5" w:rsidRPr="004A613B" w:rsidRDefault="004A2FE4" w:rsidP="008809C7">
            <w:pPr>
              <w:rPr>
                <w:rFonts w:ascii="Arial" w:hAnsi="Arial" w:cs="Arial"/>
                <w:color w:val="000000" w:themeColor="text1"/>
                <w:sz w:val="18"/>
                <w:szCs w:val="18"/>
              </w:rPr>
            </w:pPr>
            <w:r w:rsidRPr="004A2FE4">
              <w:rPr>
                <w:rFonts w:ascii="Arial" w:hAnsi="Arial" w:cs="Arial"/>
                <w:color w:val="000000" w:themeColor="text1"/>
                <w:sz w:val="18"/>
                <w:szCs w:val="18"/>
              </w:rPr>
              <w:t>Tečajnog rizika nema jer se krediti ugovaraju u EUR.</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FF5135">
            <w:pPr>
              <w:rPr>
                <w:rFonts w:ascii="Arial" w:hAnsi="Arial" w:cs="Arial"/>
                <w:color w:val="000000" w:themeColor="text1"/>
                <w:sz w:val="18"/>
                <w:szCs w:val="18"/>
              </w:rPr>
            </w:pPr>
            <w:r w:rsidRPr="004A613B">
              <w:rPr>
                <w:rFonts w:ascii="Arial" w:hAnsi="Arial" w:cs="Arial"/>
                <w:color w:val="000000" w:themeColor="text1"/>
                <w:sz w:val="18"/>
                <w:szCs w:val="18"/>
              </w:rPr>
              <w:t>Rizik promjene kamatne stope</w:t>
            </w:r>
          </w:p>
        </w:tc>
        <w:tc>
          <w:tcPr>
            <w:tcW w:w="8228" w:type="dxa"/>
            <w:tcBorders>
              <w:top w:val="single" w:sz="4" w:space="0" w:color="000000"/>
              <w:left w:val="single" w:sz="4" w:space="0" w:color="000000"/>
              <w:bottom w:val="single" w:sz="4" w:space="0" w:color="000000"/>
              <w:right w:val="single" w:sz="4" w:space="0" w:color="000000"/>
            </w:tcBorders>
          </w:tcPr>
          <w:p w:rsidR="0045621A" w:rsidRPr="004A613B" w:rsidRDefault="004A2FE4" w:rsidP="003C0E82">
            <w:pPr>
              <w:rPr>
                <w:rFonts w:ascii="Arial" w:hAnsi="Arial" w:cs="Arial"/>
                <w:color w:val="000000" w:themeColor="text1"/>
                <w:sz w:val="18"/>
                <w:szCs w:val="18"/>
              </w:rPr>
            </w:pPr>
            <w:r w:rsidRPr="004A2FE4">
              <w:rPr>
                <w:rFonts w:ascii="Arial" w:hAnsi="Arial" w:cs="Arial"/>
                <w:color w:val="000000" w:themeColor="text1"/>
                <w:sz w:val="18"/>
                <w:szCs w:val="18"/>
              </w:rPr>
              <w:t xml:space="preserve">Klijent odlučuje hoće li odabrati fiksnu ili promjenjivu kamatnu stopu. Ako odabere fiksnu, nema rizika promjene kamatne stope, jer je ona valjana u istom iznosu za cijelo vrijeme otplate kredita. Ako odabere promjenjivu kamatnu stopu, postoji rizik od njezine promjene sukladno promjeni visine referentne kamatne stope uz koju je vezana. Promjenjive kamatne stope koje Podravska banka d.d. ima u ponudi vezane su uz referentnu kamatnu stopu šestomjesečni </w:t>
            </w:r>
            <w:proofErr w:type="spellStart"/>
            <w:r w:rsidRPr="004A2FE4">
              <w:rPr>
                <w:rFonts w:ascii="Arial" w:hAnsi="Arial" w:cs="Arial"/>
                <w:color w:val="000000" w:themeColor="text1"/>
                <w:sz w:val="18"/>
                <w:szCs w:val="18"/>
              </w:rPr>
              <w:t>Euribor</w:t>
            </w:r>
            <w:proofErr w:type="spellEnd"/>
            <w:r w:rsidRPr="004A2FE4">
              <w:rPr>
                <w:rFonts w:ascii="Arial" w:hAnsi="Arial" w:cs="Arial"/>
                <w:color w:val="000000" w:themeColor="text1"/>
                <w:sz w:val="18"/>
                <w:szCs w:val="18"/>
              </w:rPr>
              <w:t xml:space="preserve"> (6M </w:t>
            </w:r>
            <w:proofErr w:type="spellStart"/>
            <w:r w:rsidRPr="004A2FE4">
              <w:rPr>
                <w:rFonts w:ascii="Arial" w:hAnsi="Arial" w:cs="Arial"/>
                <w:color w:val="000000" w:themeColor="text1"/>
                <w:sz w:val="18"/>
                <w:szCs w:val="18"/>
              </w:rPr>
              <w:t>Euribor</w:t>
            </w:r>
            <w:proofErr w:type="spellEnd"/>
            <w:r w:rsidRPr="004A2FE4">
              <w:rPr>
                <w:rFonts w:ascii="Arial" w:hAnsi="Arial" w:cs="Arial"/>
                <w:color w:val="000000" w:themeColor="text1"/>
                <w:sz w:val="18"/>
                <w:szCs w:val="18"/>
              </w:rPr>
              <w:t xml:space="preserve">). U određenom razdoblju šestomjesečni </w:t>
            </w:r>
            <w:proofErr w:type="spellStart"/>
            <w:r w:rsidRPr="004A2FE4">
              <w:rPr>
                <w:rFonts w:ascii="Arial" w:hAnsi="Arial" w:cs="Arial"/>
                <w:color w:val="000000" w:themeColor="text1"/>
                <w:sz w:val="18"/>
                <w:szCs w:val="18"/>
              </w:rPr>
              <w:t>Euribor</w:t>
            </w:r>
            <w:proofErr w:type="spellEnd"/>
            <w:r w:rsidRPr="004A2FE4">
              <w:rPr>
                <w:rFonts w:ascii="Arial" w:hAnsi="Arial" w:cs="Arial"/>
                <w:color w:val="000000" w:themeColor="text1"/>
                <w:sz w:val="18"/>
                <w:szCs w:val="18"/>
              </w:rPr>
              <w:t xml:space="preserve"> može se promijeniti naviše ili naniže te se sukladno pojedinačnom ugovoru o kreditu mijenja i kamatna stopa. Ugovaranjem promjenjive kamatne stope, klijent prihvaća rizik promjene promjenjive kamatne stope zbog promjene visine referentne kamatne stope tijekom trajanja ugovornog odnosa.  </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45621A" w:rsidRPr="004A613B" w:rsidRDefault="0045621A" w:rsidP="0045621A">
            <w:pPr>
              <w:jc w:val="left"/>
              <w:rPr>
                <w:rFonts w:ascii="Arial" w:hAnsi="Arial" w:cs="Arial"/>
                <w:color w:val="000000" w:themeColor="text1"/>
                <w:sz w:val="18"/>
                <w:szCs w:val="18"/>
              </w:rPr>
            </w:pPr>
            <w:r w:rsidRPr="004A613B">
              <w:rPr>
                <w:rFonts w:ascii="Arial" w:hAnsi="Arial" w:cs="Arial"/>
                <w:color w:val="000000" w:themeColor="text1"/>
                <w:sz w:val="18"/>
                <w:szCs w:val="18"/>
              </w:rPr>
              <w:t>Prestanak postojanja ugovorenog varijabilnog dijela promjenjive</w:t>
            </w:r>
          </w:p>
          <w:p w:rsidR="0045621A" w:rsidRPr="004A613B" w:rsidRDefault="0045621A" w:rsidP="0045621A">
            <w:pPr>
              <w:jc w:val="left"/>
              <w:rPr>
                <w:rFonts w:ascii="Arial" w:hAnsi="Arial" w:cs="Arial"/>
                <w:color w:val="000000" w:themeColor="text1"/>
                <w:sz w:val="18"/>
                <w:szCs w:val="18"/>
              </w:rPr>
            </w:pPr>
            <w:r w:rsidRPr="004A613B">
              <w:rPr>
                <w:rFonts w:ascii="Arial" w:hAnsi="Arial" w:cs="Arial"/>
                <w:color w:val="000000" w:themeColor="text1"/>
                <w:sz w:val="18"/>
                <w:szCs w:val="18"/>
              </w:rPr>
              <w:t>kamatne stope (</w:t>
            </w:r>
            <w:proofErr w:type="spellStart"/>
            <w:r w:rsidR="004A2FE4">
              <w:rPr>
                <w:rFonts w:ascii="Arial" w:hAnsi="Arial" w:cs="Arial"/>
                <w:color w:val="000000" w:themeColor="text1"/>
                <w:sz w:val="18"/>
                <w:szCs w:val="18"/>
              </w:rPr>
              <w:t>Euribor</w:t>
            </w:r>
            <w:proofErr w:type="spellEnd"/>
            <w:r w:rsidRPr="004A613B">
              <w:rPr>
                <w:rFonts w:ascii="Arial" w:hAnsi="Arial" w:cs="Arial"/>
                <w:color w:val="000000" w:themeColor="text1"/>
                <w:sz w:val="18"/>
                <w:szCs w:val="18"/>
              </w:rPr>
              <w:t>)</w:t>
            </w:r>
          </w:p>
        </w:tc>
        <w:tc>
          <w:tcPr>
            <w:tcW w:w="8228" w:type="dxa"/>
            <w:tcBorders>
              <w:top w:val="single" w:sz="4" w:space="0" w:color="000000"/>
              <w:left w:val="single" w:sz="4" w:space="0" w:color="000000"/>
              <w:bottom w:val="single" w:sz="4" w:space="0" w:color="000000"/>
              <w:right w:val="single" w:sz="4" w:space="0" w:color="000000"/>
            </w:tcBorders>
          </w:tcPr>
          <w:p w:rsidR="004A2FE4" w:rsidRPr="004A2FE4" w:rsidRDefault="004A2FE4" w:rsidP="004A2FE4">
            <w:pPr>
              <w:rPr>
                <w:rFonts w:ascii="Arial" w:hAnsi="Arial" w:cs="Arial"/>
                <w:color w:val="000000" w:themeColor="text1"/>
                <w:sz w:val="18"/>
                <w:szCs w:val="18"/>
              </w:rPr>
            </w:pPr>
            <w:r w:rsidRPr="004A2FE4">
              <w:rPr>
                <w:rFonts w:ascii="Arial" w:hAnsi="Arial" w:cs="Arial"/>
                <w:color w:val="000000" w:themeColor="text1"/>
                <w:sz w:val="18"/>
                <w:szCs w:val="18"/>
              </w:rPr>
              <w:t xml:space="preserve">U slučaju prestanka postojanja ugovorenog varijabilnog dijela promjenjive kamatne stope, nadalje će se ponajprije primjenjivati onaj parametar koji će po mjerodavnim javno dostupnim pravilima, neovisnima o volji ugovornih strana, od strane tijela, odnosno osobe koja je parametar određivala, biti određen kao zamjena za </w:t>
            </w:r>
            <w:proofErr w:type="spellStart"/>
            <w:r w:rsidRPr="004A2FE4">
              <w:rPr>
                <w:rFonts w:ascii="Arial" w:hAnsi="Arial" w:cs="Arial"/>
                <w:color w:val="000000" w:themeColor="text1"/>
                <w:sz w:val="18"/>
                <w:szCs w:val="18"/>
              </w:rPr>
              <w:t>Euribor</w:t>
            </w:r>
            <w:proofErr w:type="spellEnd"/>
            <w:r w:rsidRPr="004A2FE4">
              <w:rPr>
                <w:rFonts w:ascii="Arial" w:hAnsi="Arial" w:cs="Arial"/>
                <w:color w:val="000000" w:themeColor="text1"/>
                <w:sz w:val="18"/>
                <w:szCs w:val="18"/>
              </w:rPr>
              <w:t>. Za slučaj da prestankom postojanja promjenjivog parametra on ne bude na navedeni način zamjenjiv drugim parametrom, na ugovorni odnos će se nadalje primjenjivati drugi parametar koji se može primjenjivati u skladu s Pravilnikom o promjenjivim kamatnim stopama na kredite potrošača, a koji je primjenjiv s obzirom na ugovorenu valutu kredita. Zamjena parametra će se obaviti u najkraćem razumnom roku nakon prestanka postojanja ugovorenog parametra.</w:t>
            </w:r>
          </w:p>
          <w:p w:rsidR="004A2FE4" w:rsidRPr="004A2FE4" w:rsidRDefault="004A2FE4" w:rsidP="004A2FE4">
            <w:pPr>
              <w:rPr>
                <w:rFonts w:ascii="Arial" w:hAnsi="Arial" w:cs="Arial"/>
                <w:color w:val="000000" w:themeColor="text1"/>
                <w:sz w:val="18"/>
                <w:szCs w:val="18"/>
              </w:rPr>
            </w:pPr>
            <w:r w:rsidRPr="004A2FE4">
              <w:rPr>
                <w:rFonts w:ascii="Arial" w:hAnsi="Arial" w:cs="Arial"/>
                <w:color w:val="000000" w:themeColor="text1"/>
                <w:sz w:val="18"/>
                <w:szCs w:val="18"/>
              </w:rPr>
              <w:t xml:space="preserve">U svakom slučaju zamjene ugovorenog promjenjivog parametra drugim, kamatna stopa koja će biti zatečena kao postojeća u trenutku prestanka </w:t>
            </w:r>
            <w:proofErr w:type="spellStart"/>
            <w:r w:rsidRPr="004A2FE4">
              <w:rPr>
                <w:rFonts w:ascii="Arial" w:hAnsi="Arial" w:cs="Arial"/>
                <w:color w:val="000000" w:themeColor="text1"/>
                <w:sz w:val="18"/>
                <w:szCs w:val="18"/>
              </w:rPr>
              <w:t>Euribora</w:t>
            </w:r>
            <w:proofErr w:type="spellEnd"/>
            <w:r w:rsidRPr="004A2FE4">
              <w:rPr>
                <w:rFonts w:ascii="Arial" w:hAnsi="Arial" w:cs="Arial"/>
                <w:color w:val="000000" w:themeColor="text1"/>
                <w:sz w:val="18"/>
                <w:szCs w:val="18"/>
              </w:rPr>
              <w:t xml:space="preserve"> ne može biti izmijenjena zbog samog prestanka postojanja </w:t>
            </w:r>
            <w:proofErr w:type="spellStart"/>
            <w:r w:rsidRPr="004A2FE4">
              <w:rPr>
                <w:rFonts w:ascii="Arial" w:hAnsi="Arial" w:cs="Arial"/>
                <w:color w:val="000000" w:themeColor="text1"/>
                <w:sz w:val="18"/>
                <w:szCs w:val="18"/>
              </w:rPr>
              <w:t>Euribora</w:t>
            </w:r>
            <w:proofErr w:type="spellEnd"/>
            <w:r w:rsidRPr="004A2FE4">
              <w:rPr>
                <w:rFonts w:ascii="Arial" w:hAnsi="Arial" w:cs="Arial"/>
                <w:color w:val="000000" w:themeColor="text1"/>
                <w:sz w:val="18"/>
                <w:szCs w:val="18"/>
              </w:rPr>
              <w:t>, nego će se zamjenom parametra zadržati tada zatečena</w:t>
            </w:r>
          </w:p>
          <w:p w:rsidR="0045621A" w:rsidRPr="004A613B" w:rsidRDefault="004A2FE4" w:rsidP="004A2FE4">
            <w:pPr>
              <w:rPr>
                <w:rFonts w:ascii="Arial" w:hAnsi="Arial" w:cs="Arial"/>
                <w:color w:val="000000" w:themeColor="text1"/>
                <w:sz w:val="18"/>
                <w:szCs w:val="18"/>
              </w:rPr>
            </w:pPr>
            <w:r w:rsidRPr="004A2FE4">
              <w:rPr>
                <w:rFonts w:ascii="Arial" w:hAnsi="Arial" w:cs="Arial"/>
                <w:color w:val="000000" w:themeColor="text1"/>
                <w:sz w:val="18"/>
                <w:szCs w:val="18"/>
              </w:rPr>
              <w:t xml:space="preserve">kamatna stopa, tako da će se u mjeri u kojoj novi parametar u vrijeme zamjene parametara bude visinom različit od </w:t>
            </w:r>
            <w:proofErr w:type="spellStart"/>
            <w:r w:rsidRPr="004A2FE4">
              <w:rPr>
                <w:rFonts w:ascii="Arial" w:hAnsi="Arial" w:cs="Arial"/>
                <w:color w:val="000000" w:themeColor="text1"/>
                <w:sz w:val="18"/>
                <w:szCs w:val="18"/>
              </w:rPr>
              <w:t>Euribora</w:t>
            </w:r>
            <w:proofErr w:type="spellEnd"/>
            <w:r w:rsidRPr="004A2FE4">
              <w:rPr>
                <w:rFonts w:ascii="Arial" w:hAnsi="Arial" w:cs="Arial"/>
                <w:color w:val="000000" w:themeColor="text1"/>
                <w:sz w:val="18"/>
                <w:szCs w:val="18"/>
              </w:rPr>
              <w:t xml:space="preserve"> (viši ili niži), iznimno za takav slučaj odgovarajuće korigirati fiksni dio kamatne stope.</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632767" w:rsidRPr="004A613B" w:rsidRDefault="00632767" w:rsidP="00FF5135">
            <w:pPr>
              <w:jc w:val="left"/>
              <w:rPr>
                <w:rFonts w:ascii="Arial" w:hAnsi="Arial" w:cs="Arial"/>
                <w:color w:val="000000" w:themeColor="text1"/>
                <w:sz w:val="18"/>
                <w:szCs w:val="18"/>
              </w:rPr>
            </w:pPr>
            <w:r w:rsidRPr="004A613B">
              <w:rPr>
                <w:rFonts w:ascii="Arial" w:hAnsi="Arial" w:cs="Arial"/>
                <w:color w:val="000000" w:themeColor="text1"/>
                <w:sz w:val="18"/>
                <w:szCs w:val="18"/>
              </w:rPr>
              <w:t>Rizik gubitka posla ili dijela prihoda</w:t>
            </w:r>
          </w:p>
        </w:tc>
        <w:tc>
          <w:tcPr>
            <w:tcW w:w="8228" w:type="dxa"/>
            <w:tcBorders>
              <w:top w:val="single" w:sz="4" w:space="0" w:color="000000"/>
              <w:left w:val="single" w:sz="4" w:space="0" w:color="000000"/>
              <w:bottom w:val="single" w:sz="4" w:space="0" w:color="000000"/>
              <w:right w:val="single" w:sz="4" w:space="0" w:color="000000"/>
            </w:tcBorders>
          </w:tcPr>
          <w:p w:rsidR="00632767" w:rsidRPr="004A613B" w:rsidRDefault="00632767" w:rsidP="00E738E1">
            <w:pPr>
              <w:rPr>
                <w:rFonts w:ascii="Arial" w:hAnsi="Arial" w:cs="Arial"/>
                <w:color w:val="000000" w:themeColor="text1"/>
                <w:sz w:val="18"/>
                <w:szCs w:val="18"/>
              </w:rPr>
            </w:pPr>
            <w:r w:rsidRPr="004A613B">
              <w:rPr>
                <w:rFonts w:ascii="Arial" w:hAnsi="Arial" w:cs="Arial"/>
                <w:color w:val="000000" w:themeColor="text1"/>
                <w:sz w:val="18"/>
                <w:szCs w:val="18"/>
              </w:rPr>
              <w:t>Osim rizika povezanog s promjenom kamatne stope, postoji i rizik vezano za otplatu kredita uslijed mogućeg gubitka prihoda ili dijela prihoda (gubitak zaposlenja, smanjenja osobnog dohotka i sl.)</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FF5135">
            <w:pPr>
              <w:jc w:val="left"/>
              <w:rPr>
                <w:rFonts w:ascii="Arial" w:hAnsi="Arial" w:cs="Arial"/>
                <w:color w:val="000000" w:themeColor="text1"/>
                <w:sz w:val="18"/>
                <w:szCs w:val="18"/>
              </w:rPr>
            </w:pPr>
            <w:r w:rsidRPr="004A613B">
              <w:rPr>
                <w:rFonts w:ascii="Arial" w:hAnsi="Arial" w:cs="Arial"/>
                <w:color w:val="000000" w:themeColor="text1"/>
                <w:sz w:val="18"/>
                <w:szCs w:val="18"/>
              </w:rPr>
              <w:t>Moguće posljedice neispunjavanja ugovornih obveza</w:t>
            </w:r>
          </w:p>
        </w:tc>
        <w:tc>
          <w:tcPr>
            <w:tcW w:w="8228" w:type="dxa"/>
            <w:tcBorders>
              <w:top w:val="single" w:sz="4" w:space="0" w:color="000000"/>
              <w:left w:val="single" w:sz="4" w:space="0" w:color="000000"/>
              <w:bottom w:val="single" w:sz="4" w:space="0" w:color="000000"/>
              <w:right w:val="single" w:sz="4" w:space="0" w:color="000000"/>
            </w:tcBorders>
          </w:tcPr>
          <w:p w:rsidR="00EB5CB5" w:rsidRPr="004A613B" w:rsidRDefault="00632767" w:rsidP="00E738E1">
            <w:pPr>
              <w:rPr>
                <w:rFonts w:ascii="Arial" w:hAnsi="Arial" w:cs="Arial"/>
                <w:color w:val="000000" w:themeColor="text1"/>
                <w:sz w:val="18"/>
                <w:szCs w:val="18"/>
              </w:rPr>
            </w:pPr>
            <w:r w:rsidRPr="004A613B">
              <w:rPr>
                <w:rFonts w:ascii="Arial" w:hAnsi="Arial" w:cs="Arial"/>
                <w:color w:val="000000" w:themeColor="text1"/>
                <w:sz w:val="18"/>
                <w:szCs w:val="18"/>
              </w:rPr>
              <w:t>U slučaju da Klijent ne ispunjava preuzete ugovorne obveze, bilo zbog gubitka prihoda ili nekog drugog razloga, Banka prije otkazivanja ugovora poduzima mjere naplate dospjelih neplaćenih tražbina što uključuje, ali se ne ograničava na slanje obavijesti i opomena, aktiviranje ugovorenih instrumenata osiguranja (zadužnica, isprava o zapljeni primanja, mjenice i dr.), što u konačnici može rezultirati pokretanjem ovršnog/</w:t>
            </w:r>
            <w:r w:rsidR="005A05B9" w:rsidRPr="004A613B">
              <w:rPr>
                <w:rFonts w:ascii="Arial" w:hAnsi="Arial" w:cs="Arial"/>
                <w:color w:val="000000" w:themeColor="text1"/>
                <w:sz w:val="18"/>
                <w:szCs w:val="18"/>
              </w:rPr>
              <w:t xml:space="preserve"> </w:t>
            </w:r>
            <w:r w:rsidRPr="004A613B">
              <w:rPr>
                <w:rFonts w:ascii="Arial" w:hAnsi="Arial" w:cs="Arial"/>
                <w:color w:val="000000" w:themeColor="text1"/>
                <w:sz w:val="18"/>
                <w:szCs w:val="18"/>
              </w:rPr>
              <w:t xml:space="preserve">javnobilježničkog postupka te prodajom založene nekretnine i dr. </w:t>
            </w:r>
            <w:r w:rsidR="00EB5CB5" w:rsidRPr="004A613B">
              <w:rPr>
                <w:rFonts w:ascii="Arial" w:hAnsi="Arial" w:cs="Arial"/>
                <w:color w:val="000000" w:themeColor="text1"/>
                <w:sz w:val="18"/>
                <w:szCs w:val="18"/>
              </w:rPr>
              <w:t>Posljedica izostalih/zakašnjelih uplata može biti prisilna prodaja založene nekretnine i nemogućnost daljnjeg dobivanja kreditu. U slučaju izostalih/zakašnjelih uplata obračunava se kamata po dospijeću u visini zakonske zatezne kamatne stope. U slučaju otkaza ugovora o kreditu i/ili pokretanja postupka prisilne naplate za korisnika kredita može nastati i stvarni trošak povezan sa troškovima pokretanja i vođenja postupka prisilne naplate kao i drugi troškovi nastali tijekom naplate tražbina a čija vrsta i visina je određena propisom ovisno o vrsti postupka, odnosno odgovarajućom sudskom odlukom, te eventualni ostali parnički troškovi.</w:t>
            </w:r>
          </w:p>
        </w:tc>
      </w:tr>
      <w:tr w:rsidR="005F5923" w:rsidRPr="004A613B" w:rsidTr="004A2FE4">
        <w:trPr>
          <w:trHeight w:val="2309"/>
        </w:trPr>
        <w:tc>
          <w:tcPr>
            <w:tcW w:w="2121" w:type="dxa"/>
            <w:tcBorders>
              <w:top w:val="single" w:sz="4" w:space="0" w:color="000000"/>
              <w:left w:val="single" w:sz="4" w:space="0" w:color="000000"/>
              <w:bottom w:val="single" w:sz="4" w:space="0" w:color="000000"/>
              <w:right w:val="single" w:sz="4" w:space="0" w:color="000000"/>
            </w:tcBorders>
          </w:tcPr>
          <w:p w:rsidR="00EB5CB5" w:rsidRPr="004A613B" w:rsidRDefault="00EB5CB5" w:rsidP="00FF5135">
            <w:pPr>
              <w:jc w:val="left"/>
              <w:rPr>
                <w:rFonts w:ascii="Arial" w:hAnsi="Arial" w:cs="Arial"/>
                <w:color w:val="000000" w:themeColor="text1"/>
                <w:sz w:val="18"/>
                <w:szCs w:val="18"/>
              </w:rPr>
            </w:pPr>
            <w:r w:rsidRPr="004A613B">
              <w:rPr>
                <w:rFonts w:ascii="Arial" w:hAnsi="Arial" w:cs="Arial"/>
                <w:color w:val="000000" w:themeColor="text1"/>
                <w:sz w:val="18"/>
                <w:szCs w:val="18"/>
              </w:rPr>
              <w:lastRenderedPageBreak/>
              <w:t>Predviđeni redoslijed aktiviranja instrumenata osiguranja</w:t>
            </w:r>
          </w:p>
        </w:tc>
        <w:tc>
          <w:tcPr>
            <w:tcW w:w="8228" w:type="dxa"/>
            <w:tcBorders>
              <w:top w:val="single" w:sz="4" w:space="0" w:color="000000"/>
              <w:left w:val="single" w:sz="4" w:space="0" w:color="000000"/>
              <w:bottom w:val="single" w:sz="4" w:space="0" w:color="000000"/>
              <w:right w:val="single" w:sz="4" w:space="0" w:color="000000"/>
            </w:tcBorders>
          </w:tcPr>
          <w:p w:rsidR="001E4657" w:rsidRPr="004A613B" w:rsidRDefault="001E4657" w:rsidP="001E4657">
            <w:pPr>
              <w:rPr>
                <w:rFonts w:ascii="Arial" w:hAnsi="Arial" w:cs="Arial"/>
                <w:color w:val="000000" w:themeColor="text1"/>
                <w:sz w:val="18"/>
                <w:szCs w:val="18"/>
              </w:rPr>
            </w:pPr>
            <w:r w:rsidRPr="004A613B">
              <w:rPr>
                <w:rFonts w:ascii="Arial" w:hAnsi="Arial" w:cs="Arial"/>
                <w:color w:val="000000" w:themeColor="text1"/>
                <w:sz w:val="18"/>
                <w:szCs w:val="18"/>
              </w:rPr>
              <w:t>Ukoliko Korisnik kredita ne plaća svoje obveze o dospijeću, Banka će aktivirati instrumente naplate sljedećim redoslijedom:</w:t>
            </w:r>
          </w:p>
          <w:p w:rsidR="001E4657" w:rsidRPr="004A613B" w:rsidRDefault="001E4657" w:rsidP="001E4657">
            <w:pPr>
              <w:pStyle w:val="ListParagraph"/>
              <w:numPr>
                <w:ilvl w:val="0"/>
                <w:numId w:val="7"/>
              </w:numPr>
              <w:spacing w:line="240" w:lineRule="auto"/>
              <w:ind w:left="459" w:hanging="425"/>
              <w:rPr>
                <w:rFonts w:ascii="Arial" w:hAnsi="Arial" w:cs="Arial"/>
                <w:color w:val="000000" w:themeColor="text1"/>
                <w:sz w:val="18"/>
                <w:szCs w:val="18"/>
              </w:rPr>
            </w:pPr>
            <w:r w:rsidRPr="004A613B">
              <w:rPr>
                <w:rFonts w:ascii="Arial" w:hAnsi="Arial" w:cs="Arial"/>
                <w:color w:val="000000" w:themeColor="text1"/>
                <w:sz w:val="18"/>
                <w:szCs w:val="18"/>
              </w:rPr>
              <w:t xml:space="preserve">aktiviranje javnobilježnički potvrđene ovjerene izjave o zapljeni po pristanku </w:t>
            </w:r>
            <w:proofErr w:type="spellStart"/>
            <w:r w:rsidRPr="004A613B">
              <w:rPr>
                <w:rFonts w:ascii="Arial" w:hAnsi="Arial" w:cs="Arial"/>
                <w:color w:val="000000" w:themeColor="text1"/>
                <w:sz w:val="18"/>
                <w:szCs w:val="18"/>
              </w:rPr>
              <w:t>ovršenika</w:t>
            </w:r>
            <w:proofErr w:type="spellEnd"/>
            <w:r w:rsidRPr="004A613B">
              <w:rPr>
                <w:rFonts w:ascii="Arial" w:hAnsi="Arial" w:cs="Arial"/>
                <w:color w:val="000000" w:themeColor="text1"/>
                <w:sz w:val="18"/>
                <w:szCs w:val="18"/>
              </w:rPr>
              <w:t xml:space="preserve"> -korisnika kredita, sudužnika i jamaca i aktiviranje zadužnice korisnika kredita, sudužnika i jamaca u visini dospjelog duga</w:t>
            </w:r>
          </w:p>
          <w:p w:rsidR="001E4657" w:rsidRPr="004A613B" w:rsidRDefault="001E4657" w:rsidP="001E4657">
            <w:pPr>
              <w:pStyle w:val="ListParagraph"/>
              <w:numPr>
                <w:ilvl w:val="0"/>
                <w:numId w:val="7"/>
              </w:numPr>
              <w:spacing w:line="240" w:lineRule="auto"/>
              <w:ind w:left="459" w:hanging="425"/>
              <w:rPr>
                <w:rFonts w:ascii="Arial" w:hAnsi="Arial" w:cs="Arial"/>
                <w:color w:val="000000" w:themeColor="text1"/>
                <w:sz w:val="18"/>
                <w:szCs w:val="18"/>
              </w:rPr>
            </w:pPr>
            <w:r w:rsidRPr="004A613B">
              <w:rPr>
                <w:rFonts w:ascii="Arial" w:hAnsi="Arial" w:cs="Arial"/>
                <w:color w:val="000000" w:themeColor="text1"/>
                <w:sz w:val="18"/>
                <w:szCs w:val="18"/>
              </w:rPr>
              <w:t>naplata iz namjenskog depozita</w:t>
            </w:r>
          </w:p>
          <w:p w:rsidR="001E4657" w:rsidRPr="004A613B" w:rsidRDefault="001E4657" w:rsidP="001E4657">
            <w:pPr>
              <w:pStyle w:val="ListParagraph"/>
              <w:numPr>
                <w:ilvl w:val="0"/>
                <w:numId w:val="7"/>
              </w:numPr>
              <w:spacing w:line="240" w:lineRule="auto"/>
              <w:ind w:left="459" w:hanging="425"/>
              <w:rPr>
                <w:rFonts w:ascii="Arial" w:hAnsi="Arial" w:cs="Arial"/>
                <w:color w:val="000000" w:themeColor="text1"/>
                <w:sz w:val="18"/>
                <w:szCs w:val="18"/>
              </w:rPr>
            </w:pPr>
            <w:r w:rsidRPr="004A613B">
              <w:rPr>
                <w:rFonts w:ascii="Arial" w:hAnsi="Arial" w:cs="Arial"/>
                <w:color w:val="000000" w:themeColor="text1"/>
                <w:sz w:val="18"/>
                <w:szCs w:val="18"/>
              </w:rPr>
              <w:t>nakon otkaza ugovora pokreće se postupak prisilne naplate nad svim preostalim instrumentima osiguranja,</w:t>
            </w:r>
          </w:p>
          <w:p w:rsidR="00EB5CB5" w:rsidRPr="004A613B" w:rsidRDefault="001E4657" w:rsidP="0097233B">
            <w:pPr>
              <w:pStyle w:val="ListParagraph"/>
              <w:numPr>
                <w:ilvl w:val="0"/>
                <w:numId w:val="7"/>
              </w:numPr>
              <w:spacing w:after="0" w:line="240" w:lineRule="auto"/>
              <w:ind w:left="459" w:hanging="425"/>
              <w:rPr>
                <w:rFonts w:ascii="Arial" w:hAnsi="Arial" w:cs="Arial"/>
                <w:color w:val="000000" w:themeColor="text1"/>
                <w:sz w:val="18"/>
                <w:szCs w:val="18"/>
              </w:rPr>
            </w:pPr>
            <w:r w:rsidRPr="004A613B">
              <w:rPr>
                <w:rFonts w:ascii="Arial" w:hAnsi="Arial" w:cs="Arial"/>
                <w:color w:val="000000" w:themeColor="text1"/>
                <w:sz w:val="18"/>
                <w:szCs w:val="18"/>
              </w:rPr>
              <w:t>odnosno šalje se dopuna zadužnica svih sudionika, pokreće se ovrha na založenoj imovini i ovrha na imovini jamaca ukoliko se procijeni da založena imovina nije dovoljna za namiru.</w:t>
            </w:r>
          </w:p>
        </w:tc>
      </w:tr>
      <w:tr w:rsidR="005F5923" w:rsidRPr="004A613B" w:rsidTr="004A2FE4">
        <w:trPr>
          <w:trHeight w:val="562"/>
        </w:trPr>
        <w:tc>
          <w:tcPr>
            <w:tcW w:w="2121" w:type="dxa"/>
            <w:tcBorders>
              <w:top w:val="single" w:sz="4" w:space="0" w:color="000000"/>
              <w:left w:val="single" w:sz="4" w:space="0" w:color="000000"/>
              <w:bottom w:val="single" w:sz="4" w:space="0" w:color="000000"/>
              <w:right w:val="single" w:sz="4" w:space="0" w:color="000000"/>
            </w:tcBorders>
          </w:tcPr>
          <w:p w:rsidR="00DF0FEA" w:rsidRPr="004A613B" w:rsidRDefault="00DF0FEA" w:rsidP="00DF0FEA">
            <w:pPr>
              <w:jc w:val="left"/>
              <w:rPr>
                <w:rFonts w:ascii="Arial" w:hAnsi="Arial" w:cs="Arial"/>
                <w:color w:val="000000" w:themeColor="text1"/>
                <w:sz w:val="18"/>
                <w:szCs w:val="18"/>
              </w:rPr>
            </w:pPr>
            <w:r w:rsidRPr="004A613B">
              <w:rPr>
                <w:rFonts w:ascii="Arial" w:hAnsi="Arial" w:cs="Arial"/>
                <w:color w:val="000000" w:themeColor="text1"/>
                <w:sz w:val="18"/>
                <w:szCs w:val="18"/>
              </w:rPr>
              <w:t>Pravo na besplatan primjerak nacrta ugovora o kreditu</w:t>
            </w:r>
          </w:p>
        </w:tc>
        <w:tc>
          <w:tcPr>
            <w:tcW w:w="8228" w:type="dxa"/>
            <w:tcBorders>
              <w:top w:val="single" w:sz="4" w:space="0" w:color="000000"/>
              <w:left w:val="single" w:sz="4" w:space="0" w:color="000000"/>
              <w:bottom w:val="single" w:sz="4" w:space="0" w:color="000000"/>
              <w:right w:val="single" w:sz="4" w:space="0" w:color="000000"/>
            </w:tcBorders>
          </w:tcPr>
          <w:p w:rsidR="00DF0FEA" w:rsidRPr="004A613B" w:rsidRDefault="00DF0FEA" w:rsidP="00DF0FEA">
            <w:pPr>
              <w:rPr>
                <w:rFonts w:ascii="Arial" w:hAnsi="Arial" w:cs="Arial"/>
                <w:color w:val="000000" w:themeColor="text1"/>
                <w:sz w:val="18"/>
                <w:szCs w:val="18"/>
              </w:rPr>
            </w:pPr>
            <w:r w:rsidRPr="004A613B">
              <w:rPr>
                <w:rFonts w:ascii="Arial" w:hAnsi="Arial" w:cs="Arial"/>
                <w:color w:val="000000" w:themeColor="text1"/>
                <w:sz w:val="18"/>
                <w:szCs w:val="18"/>
              </w:rPr>
              <w:t>Korisnik kredita, na vlastiti zahtjev, ima pravo na besplatan primjerak nacrta Ugovora o kreditu.</w:t>
            </w:r>
          </w:p>
        </w:tc>
      </w:tr>
      <w:tr w:rsidR="005F5923" w:rsidRPr="004A613B" w:rsidTr="004A2FE4">
        <w:trPr>
          <w:trHeight w:val="845"/>
        </w:trPr>
        <w:tc>
          <w:tcPr>
            <w:tcW w:w="2121" w:type="dxa"/>
            <w:tcBorders>
              <w:top w:val="single" w:sz="4" w:space="0" w:color="000000"/>
              <w:left w:val="single" w:sz="4" w:space="0" w:color="000000"/>
              <w:bottom w:val="single" w:sz="4" w:space="0" w:color="000000"/>
              <w:right w:val="single" w:sz="4" w:space="0" w:color="000000"/>
            </w:tcBorders>
          </w:tcPr>
          <w:p w:rsidR="00DF0FEA" w:rsidRPr="004A613B" w:rsidRDefault="00DF0FEA" w:rsidP="00DF0FEA">
            <w:pPr>
              <w:jc w:val="left"/>
              <w:rPr>
                <w:rFonts w:ascii="Arial" w:hAnsi="Arial" w:cs="Arial"/>
                <w:color w:val="000000" w:themeColor="text1"/>
                <w:sz w:val="18"/>
                <w:szCs w:val="18"/>
              </w:rPr>
            </w:pPr>
            <w:r w:rsidRPr="004A613B">
              <w:rPr>
                <w:rFonts w:ascii="Arial" w:hAnsi="Arial" w:cs="Arial"/>
                <w:color w:val="000000" w:themeColor="text1"/>
                <w:sz w:val="18"/>
                <w:szCs w:val="18"/>
              </w:rPr>
              <w:t>Kreditna sposobnost</w:t>
            </w:r>
          </w:p>
        </w:tc>
        <w:tc>
          <w:tcPr>
            <w:tcW w:w="8228" w:type="dxa"/>
            <w:tcBorders>
              <w:top w:val="single" w:sz="4" w:space="0" w:color="000000"/>
              <w:left w:val="single" w:sz="4" w:space="0" w:color="000000"/>
              <w:bottom w:val="single" w:sz="4" w:space="0" w:color="000000"/>
              <w:right w:val="single" w:sz="4" w:space="0" w:color="000000"/>
            </w:tcBorders>
          </w:tcPr>
          <w:p w:rsidR="00DF0FEA" w:rsidRPr="004A613B" w:rsidRDefault="00DF0FEA" w:rsidP="00DF0FEA">
            <w:pPr>
              <w:rPr>
                <w:rFonts w:ascii="Arial" w:hAnsi="Arial" w:cs="Arial"/>
                <w:color w:val="000000" w:themeColor="text1"/>
                <w:sz w:val="18"/>
                <w:szCs w:val="18"/>
              </w:rPr>
            </w:pPr>
            <w:r w:rsidRPr="004A613B">
              <w:rPr>
                <w:rFonts w:ascii="Arial" w:hAnsi="Arial" w:cs="Arial"/>
                <w:color w:val="000000" w:themeColor="text1"/>
                <w:sz w:val="18"/>
                <w:szCs w:val="18"/>
              </w:rPr>
              <w:t>Banka će pristupiti postupku odobravanja kredita po uvidu u relevantne informacije te dostavi od strane korisnika kredita svih informacija potrebnih za procjenu kreditne sposobnosti.</w:t>
            </w:r>
          </w:p>
        </w:tc>
      </w:tr>
      <w:tr w:rsidR="005F5923" w:rsidRPr="004A613B" w:rsidTr="00DA3D3C">
        <w:trPr>
          <w:trHeight w:val="417"/>
        </w:trPr>
        <w:tc>
          <w:tcPr>
            <w:tcW w:w="10349" w:type="dxa"/>
            <w:gridSpan w:val="2"/>
            <w:tcBorders>
              <w:top w:val="single" w:sz="4" w:space="0" w:color="000000"/>
              <w:left w:val="single" w:sz="4" w:space="0" w:color="000000"/>
              <w:bottom w:val="single" w:sz="4" w:space="0" w:color="000000"/>
              <w:right w:val="single" w:sz="4" w:space="0" w:color="000000"/>
            </w:tcBorders>
            <w:shd w:val="clear" w:color="auto" w:fill="FF6900"/>
            <w:vAlign w:val="center"/>
          </w:tcPr>
          <w:p w:rsidR="00EB5CB5" w:rsidRPr="004A613B" w:rsidRDefault="00DA3D3C" w:rsidP="00DA3D3C">
            <w:pPr>
              <w:jc w:val="left"/>
              <w:rPr>
                <w:rFonts w:ascii="Arial" w:hAnsi="Arial" w:cs="Arial"/>
                <w:b/>
                <w:color w:val="000000" w:themeColor="text1"/>
                <w:sz w:val="18"/>
                <w:szCs w:val="18"/>
              </w:rPr>
            </w:pPr>
            <w:r w:rsidRPr="004A613B">
              <w:rPr>
                <w:rFonts w:ascii="Arial" w:hAnsi="Arial" w:cs="Arial"/>
                <w:b/>
                <w:color w:val="FFFFFF" w:themeColor="background1"/>
                <w:sz w:val="18"/>
                <w:szCs w:val="18"/>
              </w:rPr>
              <w:t>Opći uvjeti poslovanja</w:t>
            </w:r>
          </w:p>
        </w:tc>
      </w:tr>
      <w:tr w:rsidR="005F5923" w:rsidRPr="004A613B" w:rsidTr="004A2FE4">
        <w:tc>
          <w:tcPr>
            <w:tcW w:w="2121" w:type="dxa"/>
            <w:tcBorders>
              <w:top w:val="single" w:sz="4" w:space="0" w:color="000000"/>
              <w:left w:val="single" w:sz="4" w:space="0" w:color="000000"/>
              <w:bottom w:val="single" w:sz="4" w:space="0" w:color="000000"/>
              <w:right w:val="single" w:sz="4" w:space="0" w:color="000000"/>
            </w:tcBorders>
          </w:tcPr>
          <w:p w:rsidR="001E4657" w:rsidRPr="004A613B" w:rsidRDefault="001E4657" w:rsidP="001E4657">
            <w:pPr>
              <w:rPr>
                <w:rFonts w:ascii="Arial" w:hAnsi="Arial" w:cs="Arial"/>
                <w:color w:val="000000" w:themeColor="text1"/>
                <w:sz w:val="18"/>
                <w:szCs w:val="18"/>
              </w:rPr>
            </w:pPr>
          </w:p>
        </w:tc>
        <w:tc>
          <w:tcPr>
            <w:tcW w:w="8228" w:type="dxa"/>
            <w:tcBorders>
              <w:top w:val="single" w:sz="4" w:space="0" w:color="000000"/>
              <w:left w:val="single" w:sz="4" w:space="0" w:color="000000"/>
              <w:bottom w:val="single" w:sz="4" w:space="0" w:color="000000"/>
              <w:right w:val="single" w:sz="4" w:space="0" w:color="000000"/>
            </w:tcBorders>
          </w:tcPr>
          <w:p w:rsidR="001E4657" w:rsidRPr="004A613B" w:rsidRDefault="001E4657" w:rsidP="001E4657">
            <w:pPr>
              <w:rPr>
                <w:rFonts w:ascii="Arial" w:hAnsi="Arial" w:cs="Arial"/>
                <w:color w:val="000000" w:themeColor="text1"/>
                <w:sz w:val="18"/>
                <w:szCs w:val="18"/>
              </w:rPr>
            </w:pPr>
            <w:r w:rsidRPr="004A613B">
              <w:rPr>
                <w:rFonts w:ascii="Arial" w:hAnsi="Arial" w:cs="Arial"/>
                <w:color w:val="000000" w:themeColor="text1"/>
                <w:sz w:val="18"/>
                <w:szCs w:val="18"/>
              </w:rPr>
              <w:t>Na ugovorni odnos primjenjuju se Opći uvjeti kreditnog poslovanja s fizičkim osobama – potrošačima koji su važeći u trenutku realizacije kredita te sve njegove izmjene i dopune tijekom otplate kredita.</w:t>
            </w:r>
          </w:p>
        </w:tc>
      </w:tr>
    </w:tbl>
    <w:p w:rsidR="00785B53" w:rsidRPr="004A613B" w:rsidRDefault="00785B53" w:rsidP="00785B53">
      <w:pPr>
        <w:autoSpaceDE/>
        <w:ind w:left="426"/>
        <w:jc w:val="left"/>
        <w:rPr>
          <w:rFonts w:ascii="Arial" w:hAnsi="Arial" w:cs="Arial"/>
          <w:color w:val="000000" w:themeColor="text1"/>
          <w:sz w:val="18"/>
          <w:szCs w:val="18"/>
        </w:rPr>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56"/>
        <w:gridCol w:w="8193"/>
      </w:tblGrid>
      <w:tr w:rsidR="005F5923" w:rsidRPr="004A613B" w:rsidTr="00DA3D3C">
        <w:trPr>
          <w:trHeight w:val="323"/>
        </w:trPr>
        <w:tc>
          <w:tcPr>
            <w:tcW w:w="10349" w:type="dxa"/>
            <w:gridSpan w:val="2"/>
            <w:tcBorders>
              <w:top w:val="single" w:sz="4" w:space="0" w:color="000000"/>
              <w:left w:val="single" w:sz="4" w:space="0" w:color="000000"/>
              <w:bottom w:val="single" w:sz="4" w:space="0" w:color="000000"/>
              <w:right w:val="single" w:sz="4" w:space="0" w:color="000000"/>
            </w:tcBorders>
            <w:shd w:val="clear" w:color="auto" w:fill="FF6900"/>
            <w:vAlign w:val="center"/>
          </w:tcPr>
          <w:p w:rsidR="00FF5135" w:rsidRPr="004A613B" w:rsidRDefault="00DA3D3C" w:rsidP="00DA3D3C">
            <w:pPr>
              <w:jc w:val="left"/>
              <w:rPr>
                <w:rFonts w:ascii="Arial" w:hAnsi="Arial" w:cs="Arial"/>
                <w:b/>
                <w:color w:val="000000" w:themeColor="text1"/>
                <w:sz w:val="18"/>
                <w:szCs w:val="18"/>
                <w:lang w:eastAsia="en-US"/>
              </w:rPr>
            </w:pPr>
            <w:r w:rsidRPr="004A613B">
              <w:rPr>
                <w:rFonts w:ascii="Arial" w:hAnsi="Arial" w:cs="Arial"/>
                <w:b/>
                <w:color w:val="FFFFFF" w:themeColor="background1"/>
                <w:sz w:val="18"/>
                <w:szCs w:val="18"/>
                <w:lang w:eastAsia="en-US"/>
              </w:rPr>
              <w:t>Dostupnost dodatnih informacija</w:t>
            </w:r>
          </w:p>
        </w:tc>
      </w:tr>
      <w:tr w:rsidR="005F5923" w:rsidRPr="004A613B" w:rsidTr="00844BCD">
        <w:trPr>
          <w:trHeight w:val="528"/>
        </w:trPr>
        <w:tc>
          <w:tcPr>
            <w:tcW w:w="2156" w:type="dxa"/>
            <w:tcBorders>
              <w:top w:val="single" w:sz="4" w:space="0" w:color="000000"/>
              <w:left w:val="single" w:sz="4" w:space="0" w:color="000000"/>
              <w:bottom w:val="single" w:sz="4" w:space="0" w:color="000000"/>
              <w:right w:val="single" w:sz="4" w:space="0" w:color="000000"/>
            </w:tcBorders>
          </w:tcPr>
          <w:p w:rsidR="00F70490" w:rsidRPr="004A613B" w:rsidRDefault="00F70490" w:rsidP="000B2E2A">
            <w:pPr>
              <w:pStyle w:val="NoSpacing"/>
              <w:rPr>
                <w:rFonts w:ascii="Arial" w:hAnsi="Arial" w:cs="Arial"/>
                <w:color w:val="000000" w:themeColor="text1"/>
                <w:sz w:val="18"/>
                <w:szCs w:val="18"/>
              </w:rPr>
            </w:pPr>
          </w:p>
        </w:tc>
        <w:tc>
          <w:tcPr>
            <w:tcW w:w="8193" w:type="dxa"/>
            <w:tcBorders>
              <w:top w:val="single" w:sz="4" w:space="0" w:color="000000"/>
              <w:left w:val="single" w:sz="4" w:space="0" w:color="000000"/>
              <w:bottom w:val="single" w:sz="4" w:space="0" w:color="000000"/>
              <w:right w:val="single" w:sz="4" w:space="0" w:color="000000"/>
            </w:tcBorders>
          </w:tcPr>
          <w:p w:rsidR="00F47959" w:rsidRPr="004A613B" w:rsidRDefault="00FF5135" w:rsidP="008809C7">
            <w:pPr>
              <w:rPr>
                <w:rFonts w:ascii="Arial" w:hAnsi="Arial" w:cs="Arial"/>
                <w:color w:val="000000" w:themeColor="text1"/>
                <w:sz w:val="18"/>
                <w:szCs w:val="18"/>
              </w:rPr>
            </w:pPr>
            <w:r w:rsidRPr="004A613B">
              <w:rPr>
                <w:rFonts w:ascii="Arial" w:hAnsi="Arial" w:cs="Arial"/>
                <w:color w:val="000000" w:themeColor="text1"/>
                <w:sz w:val="18"/>
                <w:szCs w:val="18"/>
                <w:lang w:eastAsia="en-US"/>
              </w:rPr>
              <w:t>U slučaju dodatnih</w:t>
            </w:r>
            <w:r w:rsidR="003A5A9F" w:rsidRPr="004A613B">
              <w:rPr>
                <w:rFonts w:ascii="Arial" w:hAnsi="Arial" w:cs="Arial"/>
                <w:color w:val="000000" w:themeColor="text1"/>
                <w:sz w:val="18"/>
                <w:szCs w:val="18"/>
                <w:lang w:eastAsia="en-US"/>
              </w:rPr>
              <w:t xml:space="preserve"> upita informacije su dostupne: </w:t>
            </w:r>
            <w:r w:rsidRPr="004A613B">
              <w:rPr>
                <w:rFonts w:ascii="Arial" w:hAnsi="Arial" w:cs="Arial"/>
                <w:color w:val="000000" w:themeColor="text1"/>
                <w:sz w:val="18"/>
                <w:szCs w:val="18"/>
              </w:rPr>
              <w:t xml:space="preserve">u poslovnicama </w:t>
            </w:r>
            <w:r w:rsidR="008809C7" w:rsidRPr="004A613B">
              <w:rPr>
                <w:rFonts w:ascii="Arial" w:hAnsi="Arial" w:cs="Arial"/>
                <w:color w:val="000000" w:themeColor="text1"/>
                <w:sz w:val="18"/>
                <w:szCs w:val="18"/>
              </w:rPr>
              <w:t>B</w:t>
            </w:r>
            <w:r w:rsidR="007170B4" w:rsidRPr="004A613B">
              <w:rPr>
                <w:rFonts w:ascii="Arial" w:hAnsi="Arial" w:cs="Arial"/>
                <w:color w:val="000000" w:themeColor="text1"/>
                <w:sz w:val="18"/>
                <w:szCs w:val="18"/>
              </w:rPr>
              <w:t>anke</w:t>
            </w:r>
            <w:r w:rsidRPr="004A613B">
              <w:rPr>
                <w:rFonts w:ascii="Arial" w:hAnsi="Arial" w:cs="Arial"/>
                <w:color w:val="000000" w:themeColor="text1"/>
                <w:sz w:val="18"/>
                <w:szCs w:val="18"/>
              </w:rPr>
              <w:t>; na</w:t>
            </w:r>
            <w:r w:rsidR="003A5A9F" w:rsidRPr="004A613B">
              <w:rPr>
                <w:rFonts w:ascii="Arial" w:hAnsi="Arial" w:cs="Arial"/>
                <w:color w:val="000000" w:themeColor="text1"/>
                <w:sz w:val="18"/>
                <w:szCs w:val="18"/>
              </w:rPr>
              <w:t xml:space="preserve"> </w:t>
            </w:r>
            <w:hyperlink r:id="rId8" w:history="1">
              <w:r w:rsidRPr="004A613B">
                <w:rPr>
                  <w:rStyle w:val="Hyperlink"/>
                  <w:rFonts w:ascii="Arial" w:hAnsi="Arial" w:cs="Arial"/>
                  <w:color w:val="000000" w:themeColor="text1"/>
                  <w:sz w:val="18"/>
                  <w:szCs w:val="18"/>
                </w:rPr>
                <w:t>www.poba.hr</w:t>
              </w:r>
            </w:hyperlink>
            <w:r w:rsidRPr="004A613B">
              <w:rPr>
                <w:rFonts w:ascii="Arial" w:hAnsi="Arial" w:cs="Arial"/>
                <w:color w:val="000000" w:themeColor="text1"/>
                <w:sz w:val="18"/>
                <w:szCs w:val="18"/>
              </w:rPr>
              <w:t xml:space="preserve"> ili putem Info centar 072/20 20 20</w:t>
            </w:r>
          </w:p>
        </w:tc>
      </w:tr>
      <w:tr w:rsidR="005F5923" w:rsidRPr="004A613B" w:rsidTr="00844BCD">
        <w:tc>
          <w:tcPr>
            <w:tcW w:w="2156" w:type="dxa"/>
            <w:tcBorders>
              <w:top w:val="single" w:sz="4" w:space="0" w:color="000000"/>
              <w:left w:val="single" w:sz="4" w:space="0" w:color="000000"/>
              <w:bottom w:val="single" w:sz="4" w:space="0" w:color="000000"/>
              <w:right w:val="single" w:sz="4" w:space="0" w:color="000000"/>
            </w:tcBorders>
          </w:tcPr>
          <w:p w:rsidR="00425C5B" w:rsidRPr="004A613B" w:rsidRDefault="00425C5B" w:rsidP="000B2E2A">
            <w:pPr>
              <w:pStyle w:val="NoSpacing"/>
              <w:rPr>
                <w:rFonts w:ascii="Arial" w:hAnsi="Arial" w:cs="Arial"/>
                <w:color w:val="000000" w:themeColor="text1"/>
                <w:sz w:val="18"/>
                <w:szCs w:val="18"/>
              </w:rPr>
            </w:pPr>
            <w:r w:rsidRPr="004A613B">
              <w:rPr>
                <w:rFonts w:ascii="Arial" w:hAnsi="Arial" w:cs="Arial"/>
                <w:color w:val="000000" w:themeColor="text1"/>
                <w:sz w:val="18"/>
                <w:szCs w:val="18"/>
              </w:rPr>
              <w:t>Savjetodavne usluge</w:t>
            </w:r>
          </w:p>
        </w:tc>
        <w:tc>
          <w:tcPr>
            <w:tcW w:w="8193" w:type="dxa"/>
            <w:tcBorders>
              <w:top w:val="single" w:sz="4" w:space="0" w:color="000000"/>
              <w:left w:val="single" w:sz="4" w:space="0" w:color="000000"/>
              <w:bottom w:val="single" w:sz="4" w:space="0" w:color="000000"/>
              <w:right w:val="single" w:sz="4" w:space="0" w:color="000000"/>
            </w:tcBorders>
          </w:tcPr>
          <w:p w:rsidR="00425C5B" w:rsidRPr="004A613B" w:rsidRDefault="00425C5B" w:rsidP="00004FDF">
            <w:pPr>
              <w:pStyle w:val="NoSpacing"/>
              <w:rPr>
                <w:rFonts w:ascii="Arial" w:hAnsi="Arial" w:cs="Arial"/>
                <w:color w:val="000000" w:themeColor="text1"/>
                <w:sz w:val="18"/>
                <w:szCs w:val="18"/>
              </w:rPr>
            </w:pPr>
            <w:r w:rsidRPr="004A613B">
              <w:rPr>
                <w:rFonts w:ascii="Arial" w:hAnsi="Arial" w:cs="Arial"/>
                <w:color w:val="000000" w:themeColor="text1"/>
                <w:sz w:val="18"/>
                <w:szCs w:val="18"/>
              </w:rPr>
              <w:t>Banka ne pruža savjetodavne usluge, te odluku o podizanju kredita donosi isključivo klijent.</w:t>
            </w:r>
          </w:p>
        </w:tc>
      </w:tr>
      <w:tr w:rsidR="005F5923" w:rsidRPr="004A613B" w:rsidTr="00844BCD">
        <w:tc>
          <w:tcPr>
            <w:tcW w:w="2156" w:type="dxa"/>
            <w:tcBorders>
              <w:top w:val="single" w:sz="4" w:space="0" w:color="000000"/>
              <w:left w:val="single" w:sz="4" w:space="0" w:color="000000"/>
              <w:bottom w:val="single" w:sz="4" w:space="0" w:color="000000"/>
              <w:right w:val="single" w:sz="4" w:space="0" w:color="000000"/>
            </w:tcBorders>
          </w:tcPr>
          <w:p w:rsidR="007170B4" w:rsidRPr="004A613B" w:rsidRDefault="007170B4" w:rsidP="000B2E2A">
            <w:pPr>
              <w:pStyle w:val="NoSpacing"/>
              <w:rPr>
                <w:rFonts w:ascii="Arial" w:hAnsi="Arial" w:cs="Arial"/>
                <w:color w:val="000000" w:themeColor="text1"/>
                <w:sz w:val="18"/>
                <w:szCs w:val="18"/>
              </w:rPr>
            </w:pPr>
            <w:r w:rsidRPr="004A613B">
              <w:rPr>
                <w:rFonts w:ascii="Arial" w:hAnsi="Arial" w:cs="Arial"/>
                <w:color w:val="000000" w:themeColor="text1"/>
                <w:sz w:val="18"/>
                <w:szCs w:val="18"/>
              </w:rPr>
              <w:t>Financijska edukacija potrošača</w:t>
            </w:r>
          </w:p>
        </w:tc>
        <w:tc>
          <w:tcPr>
            <w:tcW w:w="8193" w:type="dxa"/>
            <w:tcBorders>
              <w:top w:val="single" w:sz="4" w:space="0" w:color="000000"/>
              <w:left w:val="single" w:sz="4" w:space="0" w:color="000000"/>
              <w:bottom w:val="single" w:sz="4" w:space="0" w:color="000000"/>
              <w:right w:val="single" w:sz="4" w:space="0" w:color="000000"/>
            </w:tcBorders>
          </w:tcPr>
          <w:p w:rsidR="007170B4" w:rsidRPr="004A613B" w:rsidRDefault="007170B4" w:rsidP="00974CDB">
            <w:pPr>
              <w:pStyle w:val="NoSpacing"/>
              <w:jc w:val="both"/>
              <w:rPr>
                <w:rFonts w:ascii="Arial" w:hAnsi="Arial" w:cs="Arial"/>
                <w:color w:val="000000" w:themeColor="text1"/>
                <w:sz w:val="18"/>
                <w:szCs w:val="18"/>
              </w:rPr>
            </w:pPr>
            <w:r w:rsidRPr="004A613B">
              <w:rPr>
                <w:rFonts w:ascii="Arial" w:hAnsi="Arial" w:cs="Arial"/>
                <w:color w:val="000000" w:themeColor="text1"/>
                <w:sz w:val="18"/>
                <w:szCs w:val="18"/>
              </w:rPr>
              <w:t>Potrošačima u Republici Hrvatskoj dostupna su savjetovališta za zaštitu potrošača. Popis savjetovališta nalazi se na web stranici Ministarstva gospodarstva, poduzetništva i obrta http://mingo.hr/. Adresa Ministarstva gospodarstva, poduzetništva i obrta: Ulica grada</w:t>
            </w:r>
            <w:r w:rsidR="00974CDB" w:rsidRPr="004A613B">
              <w:rPr>
                <w:rFonts w:ascii="Arial" w:hAnsi="Arial" w:cs="Arial"/>
                <w:color w:val="000000" w:themeColor="text1"/>
                <w:sz w:val="18"/>
                <w:szCs w:val="18"/>
              </w:rPr>
              <w:t xml:space="preserve"> </w:t>
            </w:r>
            <w:r w:rsidRPr="004A613B">
              <w:rPr>
                <w:rFonts w:ascii="Arial" w:hAnsi="Arial" w:cs="Arial"/>
                <w:color w:val="000000" w:themeColor="text1"/>
                <w:sz w:val="18"/>
                <w:szCs w:val="18"/>
              </w:rPr>
              <w:t>Vukovara 78, 10 000 Zagreb, telefon 01/6106 111</w:t>
            </w:r>
          </w:p>
        </w:tc>
      </w:tr>
      <w:tr w:rsidR="005F5923" w:rsidRPr="004A613B" w:rsidTr="00844BCD">
        <w:tc>
          <w:tcPr>
            <w:tcW w:w="2156" w:type="dxa"/>
            <w:tcBorders>
              <w:top w:val="single" w:sz="4" w:space="0" w:color="000000"/>
              <w:left w:val="single" w:sz="4" w:space="0" w:color="000000"/>
              <w:bottom w:val="single" w:sz="4" w:space="0" w:color="000000"/>
              <w:right w:val="single" w:sz="4" w:space="0" w:color="000000"/>
            </w:tcBorders>
          </w:tcPr>
          <w:p w:rsidR="00F70490" w:rsidRPr="004A613B" w:rsidRDefault="00004FDF" w:rsidP="000B2E2A">
            <w:pPr>
              <w:pStyle w:val="NoSpacing"/>
              <w:rPr>
                <w:rFonts w:ascii="Arial" w:hAnsi="Arial" w:cs="Arial"/>
                <w:color w:val="000000" w:themeColor="text1"/>
                <w:sz w:val="18"/>
                <w:szCs w:val="18"/>
              </w:rPr>
            </w:pPr>
            <w:r w:rsidRPr="004A613B">
              <w:rPr>
                <w:rFonts w:ascii="Arial" w:hAnsi="Arial" w:cs="Arial"/>
                <w:color w:val="000000" w:themeColor="text1"/>
                <w:sz w:val="18"/>
                <w:szCs w:val="18"/>
              </w:rPr>
              <w:t>Način podnošenja prigovora</w:t>
            </w:r>
          </w:p>
        </w:tc>
        <w:tc>
          <w:tcPr>
            <w:tcW w:w="8193" w:type="dxa"/>
            <w:tcBorders>
              <w:top w:val="single" w:sz="4" w:space="0" w:color="000000"/>
              <w:left w:val="single" w:sz="4" w:space="0" w:color="000000"/>
              <w:bottom w:val="single" w:sz="4" w:space="0" w:color="000000"/>
              <w:right w:val="single" w:sz="4" w:space="0" w:color="000000"/>
            </w:tcBorders>
          </w:tcPr>
          <w:p w:rsidR="00004FDF" w:rsidRPr="004A613B" w:rsidRDefault="00004FDF" w:rsidP="007B0EFE">
            <w:pPr>
              <w:pStyle w:val="NoSpacing"/>
              <w:jc w:val="both"/>
              <w:rPr>
                <w:rFonts w:ascii="Arial" w:hAnsi="Arial" w:cs="Arial"/>
                <w:color w:val="000000" w:themeColor="text1"/>
                <w:sz w:val="18"/>
                <w:szCs w:val="18"/>
              </w:rPr>
            </w:pPr>
            <w:r w:rsidRPr="004A613B">
              <w:rPr>
                <w:rFonts w:ascii="Arial" w:hAnsi="Arial" w:cs="Arial"/>
                <w:color w:val="000000" w:themeColor="text1"/>
                <w:sz w:val="18"/>
                <w:szCs w:val="18"/>
              </w:rPr>
              <w:t xml:space="preserve">Potrošač svoj prigovor može podnijeti Banci: poštanskom pošiljkom na adresu: Podravska banka d.d., Opatička 3, 48000 Koprivnica; elektroničkom poštom na adresu: </w:t>
            </w:r>
            <w:hyperlink r:id="rId9" w:history="1">
              <w:r w:rsidRPr="004A613B">
                <w:rPr>
                  <w:rStyle w:val="Hyperlink"/>
                  <w:rFonts w:ascii="Arial" w:hAnsi="Arial" w:cs="Arial"/>
                  <w:color w:val="000000" w:themeColor="text1"/>
                  <w:sz w:val="18"/>
                  <w:szCs w:val="18"/>
                </w:rPr>
                <w:t>prigovor@poba.hr</w:t>
              </w:r>
            </w:hyperlink>
            <w:r w:rsidRPr="004A613B">
              <w:rPr>
                <w:rFonts w:ascii="Arial" w:hAnsi="Arial" w:cs="Arial"/>
                <w:color w:val="000000" w:themeColor="text1"/>
                <w:sz w:val="18"/>
                <w:szCs w:val="18"/>
              </w:rPr>
              <w:t xml:space="preserve">; telefaks-om  na bilo koji broj u vlasništvu Banke; putem internet stranice </w:t>
            </w:r>
            <w:r w:rsidR="003A5A9F" w:rsidRPr="004A613B">
              <w:rPr>
                <w:rFonts w:ascii="Arial" w:hAnsi="Arial" w:cs="Arial"/>
                <w:color w:val="000000" w:themeColor="text1"/>
                <w:sz w:val="18"/>
                <w:szCs w:val="18"/>
              </w:rPr>
              <w:t xml:space="preserve"> </w:t>
            </w:r>
            <w:hyperlink r:id="rId10" w:history="1">
              <w:r w:rsidR="003A5A9F" w:rsidRPr="004A613B">
                <w:rPr>
                  <w:rStyle w:val="Hyperlink"/>
                  <w:rFonts w:ascii="Arial" w:hAnsi="Arial" w:cs="Arial"/>
                  <w:color w:val="000000" w:themeColor="text1"/>
                  <w:sz w:val="18"/>
                  <w:szCs w:val="18"/>
                </w:rPr>
                <w:t>www.poba.hr</w:t>
              </w:r>
            </w:hyperlink>
            <w:r w:rsidRPr="004A613B">
              <w:rPr>
                <w:rFonts w:ascii="Arial" w:hAnsi="Arial" w:cs="Arial"/>
                <w:color w:val="000000" w:themeColor="text1"/>
                <w:sz w:val="18"/>
                <w:szCs w:val="18"/>
              </w:rPr>
              <w:t>;</w:t>
            </w:r>
            <w:r w:rsidR="003A5A9F" w:rsidRPr="004A613B">
              <w:rPr>
                <w:rFonts w:ascii="Arial" w:hAnsi="Arial" w:cs="Arial"/>
                <w:color w:val="000000" w:themeColor="text1"/>
                <w:sz w:val="18"/>
                <w:szCs w:val="18"/>
              </w:rPr>
              <w:t xml:space="preserve"> </w:t>
            </w:r>
            <w:r w:rsidRPr="004A613B">
              <w:rPr>
                <w:rFonts w:ascii="Arial" w:hAnsi="Arial" w:cs="Arial"/>
                <w:color w:val="000000" w:themeColor="text1"/>
                <w:sz w:val="18"/>
                <w:szCs w:val="18"/>
              </w:rPr>
              <w:t>pismeno u bilo kojoj poslovnici Banke ili telefonski putem Info centra Banke 072/20 20 20.</w:t>
            </w:r>
          </w:p>
          <w:p w:rsidR="00F70490" w:rsidRPr="004A613B" w:rsidRDefault="00004FDF" w:rsidP="007B0EFE">
            <w:pPr>
              <w:pStyle w:val="NoSpacing"/>
              <w:jc w:val="both"/>
              <w:rPr>
                <w:rFonts w:ascii="Arial" w:hAnsi="Arial" w:cs="Arial"/>
                <w:color w:val="000000" w:themeColor="text1"/>
                <w:sz w:val="18"/>
                <w:szCs w:val="18"/>
              </w:rPr>
            </w:pPr>
            <w:r w:rsidRPr="004A613B">
              <w:rPr>
                <w:rFonts w:ascii="Arial" w:hAnsi="Arial" w:cs="Arial"/>
                <w:color w:val="000000" w:themeColor="text1"/>
                <w:sz w:val="18"/>
                <w:szCs w:val="18"/>
              </w:rPr>
              <w:t>Banka će o osnovanosti prigovora te o mjerama i radnjama koje poduzima obavijestiti Korisnika kredita pisanim putem u roku od 15 dana od dana zaprimanja prigovora, osim u slučaju ako je posebnim općim uvjetima ili propisom na pojedinu vrstu financijske usluge propisan drugačiji rok.</w:t>
            </w:r>
          </w:p>
          <w:p w:rsidR="0045621A" w:rsidRPr="004A613B" w:rsidRDefault="0045621A" w:rsidP="007B0EFE">
            <w:pPr>
              <w:pStyle w:val="NoSpacing"/>
              <w:jc w:val="both"/>
              <w:rPr>
                <w:rFonts w:ascii="Arial" w:hAnsi="Arial" w:cs="Arial"/>
                <w:color w:val="000000" w:themeColor="text1"/>
                <w:sz w:val="18"/>
                <w:szCs w:val="18"/>
              </w:rPr>
            </w:pPr>
            <w:r w:rsidRPr="004A613B">
              <w:rPr>
                <w:rFonts w:ascii="Arial" w:hAnsi="Arial" w:cs="Arial"/>
                <w:color w:val="000000" w:themeColor="text1"/>
                <w:sz w:val="18"/>
                <w:szCs w:val="18"/>
              </w:rPr>
              <w:t>U slučaju da niste zadovoljni odgovorom odnosno rješenjem Banke na podneseni prigovor, za eventualne sporove iz ovog Ugovora, obje ugovorne strane mogu podnijeti prijedlog za rješenje spora  Centru za mirenje Hrvatske gospodarske komore, odnosno pokrenuti postupak alternativnog rješavanja domaćih i prekograničnih potrošačkih sporova pri nadležnom tijelu za alternativno rješavanje potrošačkih sporova - Centar za mirenje HGK, Zagreb, e-mail: mirenje@hgk.hr, mrežna adresa: http://www.hgk.hr/centar-za-mirenje/o-centru-za-mirenje.</w:t>
            </w:r>
          </w:p>
        </w:tc>
      </w:tr>
      <w:tr w:rsidR="005F5923" w:rsidRPr="004A613B" w:rsidTr="00844BCD">
        <w:tc>
          <w:tcPr>
            <w:tcW w:w="2156" w:type="dxa"/>
            <w:tcBorders>
              <w:top w:val="single" w:sz="4" w:space="0" w:color="000000"/>
              <w:left w:val="single" w:sz="4" w:space="0" w:color="000000"/>
              <w:bottom w:val="single" w:sz="4" w:space="0" w:color="000000"/>
              <w:right w:val="single" w:sz="4" w:space="0" w:color="000000"/>
            </w:tcBorders>
          </w:tcPr>
          <w:p w:rsidR="00CB45B4" w:rsidRPr="004A613B" w:rsidRDefault="00CB45B4" w:rsidP="000B2E2A">
            <w:pPr>
              <w:pStyle w:val="NoSpacing"/>
              <w:rPr>
                <w:rFonts w:ascii="Arial" w:hAnsi="Arial" w:cs="Arial"/>
                <w:color w:val="000000" w:themeColor="text1"/>
                <w:sz w:val="18"/>
                <w:szCs w:val="18"/>
              </w:rPr>
            </w:pPr>
            <w:r w:rsidRPr="004A613B">
              <w:rPr>
                <w:rFonts w:ascii="Arial" w:hAnsi="Arial" w:cs="Arial"/>
                <w:color w:val="000000" w:themeColor="text1"/>
                <w:sz w:val="18"/>
                <w:szCs w:val="18"/>
              </w:rPr>
              <w:t>Rješavanje sporova</w:t>
            </w:r>
          </w:p>
        </w:tc>
        <w:tc>
          <w:tcPr>
            <w:tcW w:w="8193" w:type="dxa"/>
            <w:tcBorders>
              <w:top w:val="single" w:sz="4" w:space="0" w:color="000000"/>
              <w:left w:val="single" w:sz="4" w:space="0" w:color="000000"/>
              <w:bottom w:val="single" w:sz="4" w:space="0" w:color="000000"/>
              <w:right w:val="single" w:sz="4" w:space="0" w:color="000000"/>
            </w:tcBorders>
          </w:tcPr>
          <w:p w:rsidR="00CB45B4" w:rsidRPr="004A613B" w:rsidRDefault="00CB45B4" w:rsidP="007B0EFE">
            <w:pPr>
              <w:pStyle w:val="NoSpacing"/>
              <w:jc w:val="both"/>
              <w:rPr>
                <w:rFonts w:ascii="Arial" w:hAnsi="Arial" w:cs="Arial"/>
                <w:color w:val="000000" w:themeColor="text1"/>
                <w:sz w:val="18"/>
                <w:szCs w:val="18"/>
              </w:rPr>
            </w:pPr>
            <w:r w:rsidRPr="004A613B">
              <w:rPr>
                <w:rFonts w:ascii="Arial" w:hAnsi="Arial" w:cs="Arial"/>
                <w:color w:val="000000" w:themeColor="text1"/>
                <w:sz w:val="18"/>
                <w:szCs w:val="18"/>
              </w:rPr>
              <w:t>Za sve eventualne sporove biti će mjerodavno hrvatsko pravo. U slučaju eventualnog spora Klijent i Banka rješavat će ga sporazumno. Osim prethodno navedenog načina rješavanja spora, u svim sporovima između potrošača i Banke može se podnijeti prijedlog za mirenje odnosno alternativno rješavanje potrošačkog spora pri nadležnom tijelu za alternativno rješavanje potrošačkih sporova - Centar za mirenje HGK.</w:t>
            </w:r>
          </w:p>
        </w:tc>
      </w:tr>
      <w:tr w:rsidR="00DA3D3C" w:rsidRPr="004A613B" w:rsidTr="00DA3D3C">
        <w:trPr>
          <w:trHeight w:val="299"/>
        </w:trPr>
        <w:tc>
          <w:tcPr>
            <w:tcW w:w="10349" w:type="dxa"/>
            <w:gridSpan w:val="2"/>
            <w:tcBorders>
              <w:top w:val="single" w:sz="4" w:space="0" w:color="000000"/>
              <w:left w:val="single" w:sz="4" w:space="0" w:color="000000"/>
              <w:bottom w:val="single" w:sz="4" w:space="0" w:color="000000"/>
              <w:right w:val="single" w:sz="4" w:space="0" w:color="000000"/>
            </w:tcBorders>
            <w:shd w:val="clear" w:color="auto" w:fill="FF6900"/>
            <w:vAlign w:val="center"/>
          </w:tcPr>
          <w:p w:rsidR="00DA3D3C" w:rsidRPr="004A613B" w:rsidRDefault="00DA3D3C" w:rsidP="00DA3D3C">
            <w:pPr>
              <w:pStyle w:val="NoSpacing"/>
              <w:rPr>
                <w:rFonts w:ascii="Arial" w:hAnsi="Arial" w:cs="Arial"/>
                <w:b/>
                <w:color w:val="000000" w:themeColor="text1"/>
                <w:sz w:val="18"/>
                <w:szCs w:val="18"/>
              </w:rPr>
            </w:pPr>
            <w:r w:rsidRPr="004A613B">
              <w:rPr>
                <w:rFonts w:ascii="Arial" w:hAnsi="Arial" w:cs="Arial"/>
                <w:b/>
                <w:color w:val="FFFFFF" w:themeColor="background1"/>
                <w:sz w:val="18"/>
                <w:szCs w:val="18"/>
              </w:rPr>
              <w:t>Tijelo mjerodavno za nadzor kreditne institucije</w:t>
            </w:r>
          </w:p>
        </w:tc>
      </w:tr>
      <w:tr w:rsidR="00DA3D3C" w:rsidRPr="004A613B" w:rsidTr="00844BCD">
        <w:tc>
          <w:tcPr>
            <w:tcW w:w="2156" w:type="dxa"/>
            <w:tcBorders>
              <w:top w:val="single" w:sz="4" w:space="0" w:color="000000"/>
              <w:left w:val="single" w:sz="4" w:space="0" w:color="000000"/>
              <w:bottom w:val="single" w:sz="4" w:space="0" w:color="000000"/>
              <w:right w:val="single" w:sz="4" w:space="0" w:color="000000"/>
            </w:tcBorders>
          </w:tcPr>
          <w:p w:rsidR="00DA3D3C" w:rsidRPr="004A613B" w:rsidRDefault="00DA3D3C" w:rsidP="00DA3D3C">
            <w:pPr>
              <w:pStyle w:val="NoSpacing"/>
              <w:rPr>
                <w:rFonts w:ascii="Arial" w:hAnsi="Arial" w:cs="Arial"/>
                <w:color w:val="000000" w:themeColor="text1"/>
                <w:sz w:val="18"/>
                <w:szCs w:val="18"/>
              </w:rPr>
            </w:pPr>
            <w:r w:rsidRPr="004A613B">
              <w:rPr>
                <w:rFonts w:ascii="Arial" w:hAnsi="Arial" w:cs="Arial"/>
                <w:color w:val="000000" w:themeColor="text1"/>
                <w:sz w:val="18"/>
                <w:szCs w:val="18"/>
              </w:rPr>
              <w:t>Naziv tijela</w:t>
            </w:r>
          </w:p>
        </w:tc>
        <w:tc>
          <w:tcPr>
            <w:tcW w:w="8193" w:type="dxa"/>
            <w:tcBorders>
              <w:top w:val="single" w:sz="4" w:space="0" w:color="000000"/>
              <w:left w:val="single" w:sz="4" w:space="0" w:color="000000"/>
              <w:bottom w:val="single" w:sz="4" w:space="0" w:color="000000"/>
              <w:right w:val="single" w:sz="4" w:space="0" w:color="000000"/>
            </w:tcBorders>
          </w:tcPr>
          <w:p w:rsidR="00DA3D3C" w:rsidRPr="004A613B" w:rsidRDefault="00DA3D3C" w:rsidP="00DA3D3C">
            <w:pPr>
              <w:pStyle w:val="NoSpacing"/>
              <w:jc w:val="both"/>
              <w:rPr>
                <w:rFonts w:ascii="Arial" w:hAnsi="Arial" w:cs="Arial"/>
                <w:color w:val="000000" w:themeColor="text1"/>
                <w:sz w:val="18"/>
                <w:szCs w:val="18"/>
              </w:rPr>
            </w:pPr>
            <w:r w:rsidRPr="004A613B">
              <w:rPr>
                <w:rFonts w:ascii="Arial" w:hAnsi="Arial" w:cs="Arial"/>
                <w:color w:val="000000" w:themeColor="text1"/>
                <w:sz w:val="18"/>
                <w:szCs w:val="18"/>
              </w:rPr>
              <w:t>Hrvatska narodna banka</w:t>
            </w:r>
          </w:p>
        </w:tc>
      </w:tr>
      <w:tr w:rsidR="00DA3D3C" w:rsidRPr="004A613B" w:rsidTr="00844BCD">
        <w:tc>
          <w:tcPr>
            <w:tcW w:w="2156" w:type="dxa"/>
            <w:tcBorders>
              <w:top w:val="single" w:sz="4" w:space="0" w:color="000000"/>
              <w:left w:val="single" w:sz="4" w:space="0" w:color="000000"/>
              <w:bottom w:val="single" w:sz="4" w:space="0" w:color="000000"/>
              <w:right w:val="single" w:sz="4" w:space="0" w:color="000000"/>
            </w:tcBorders>
          </w:tcPr>
          <w:p w:rsidR="00DA3D3C" w:rsidRPr="004A613B" w:rsidRDefault="00DA3D3C" w:rsidP="00DA3D3C">
            <w:pPr>
              <w:pStyle w:val="NoSpacing"/>
              <w:rPr>
                <w:rFonts w:ascii="Arial" w:hAnsi="Arial" w:cs="Arial"/>
                <w:color w:val="000000" w:themeColor="text1"/>
                <w:sz w:val="18"/>
                <w:szCs w:val="18"/>
              </w:rPr>
            </w:pPr>
            <w:r w:rsidRPr="004A613B">
              <w:rPr>
                <w:rFonts w:ascii="Arial" w:hAnsi="Arial" w:cs="Arial"/>
                <w:color w:val="000000" w:themeColor="text1"/>
                <w:sz w:val="18"/>
                <w:szCs w:val="18"/>
              </w:rPr>
              <w:t>Internetska adresa</w:t>
            </w:r>
          </w:p>
        </w:tc>
        <w:tc>
          <w:tcPr>
            <w:tcW w:w="8193" w:type="dxa"/>
            <w:tcBorders>
              <w:top w:val="single" w:sz="4" w:space="0" w:color="000000"/>
              <w:left w:val="single" w:sz="4" w:space="0" w:color="000000"/>
              <w:bottom w:val="single" w:sz="4" w:space="0" w:color="000000"/>
              <w:right w:val="single" w:sz="4" w:space="0" w:color="000000"/>
            </w:tcBorders>
          </w:tcPr>
          <w:p w:rsidR="00DA3D3C" w:rsidRPr="004A613B" w:rsidRDefault="005E4826" w:rsidP="00DA3D3C">
            <w:pPr>
              <w:pStyle w:val="NoSpacing"/>
              <w:jc w:val="both"/>
              <w:rPr>
                <w:rFonts w:ascii="Arial" w:hAnsi="Arial" w:cs="Arial"/>
                <w:color w:val="000000" w:themeColor="text1"/>
                <w:sz w:val="18"/>
                <w:szCs w:val="18"/>
                <w:u w:val="single"/>
              </w:rPr>
            </w:pPr>
            <w:hyperlink r:id="rId11" w:history="1">
              <w:r w:rsidR="00DA3D3C" w:rsidRPr="004A613B">
                <w:rPr>
                  <w:rStyle w:val="Hyperlink"/>
                  <w:rFonts w:ascii="Arial" w:hAnsi="Arial" w:cs="Arial"/>
                  <w:color w:val="000000" w:themeColor="text1"/>
                  <w:sz w:val="18"/>
                  <w:szCs w:val="18"/>
                </w:rPr>
                <w:t>www.hnb.hr</w:t>
              </w:r>
            </w:hyperlink>
          </w:p>
        </w:tc>
      </w:tr>
      <w:tr w:rsidR="00DA3D3C" w:rsidRPr="004A613B" w:rsidTr="00844BCD">
        <w:tc>
          <w:tcPr>
            <w:tcW w:w="2156" w:type="dxa"/>
            <w:tcBorders>
              <w:top w:val="single" w:sz="4" w:space="0" w:color="000000"/>
              <w:left w:val="single" w:sz="4" w:space="0" w:color="000000"/>
              <w:bottom w:val="single" w:sz="4" w:space="0" w:color="000000"/>
              <w:right w:val="single" w:sz="4" w:space="0" w:color="000000"/>
            </w:tcBorders>
          </w:tcPr>
          <w:p w:rsidR="00DA3D3C" w:rsidRPr="004A613B" w:rsidRDefault="00DA3D3C" w:rsidP="00DA3D3C">
            <w:pPr>
              <w:pStyle w:val="NoSpacing"/>
              <w:rPr>
                <w:rFonts w:ascii="Arial" w:hAnsi="Arial" w:cs="Arial"/>
                <w:color w:val="000000" w:themeColor="text1"/>
                <w:sz w:val="18"/>
                <w:szCs w:val="18"/>
              </w:rPr>
            </w:pPr>
            <w:r w:rsidRPr="004A613B">
              <w:rPr>
                <w:rFonts w:ascii="Arial" w:hAnsi="Arial" w:cs="Arial"/>
                <w:color w:val="000000" w:themeColor="text1"/>
                <w:sz w:val="18"/>
                <w:szCs w:val="18"/>
              </w:rPr>
              <w:t>Fizička adresa</w:t>
            </w:r>
          </w:p>
        </w:tc>
        <w:tc>
          <w:tcPr>
            <w:tcW w:w="8193" w:type="dxa"/>
            <w:tcBorders>
              <w:top w:val="single" w:sz="4" w:space="0" w:color="000000"/>
              <w:left w:val="single" w:sz="4" w:space="0" w:color="000000"/>
              <w:bottom w:val="single" w:sz="4" w:space="0" w:color="000000"/>
              <w:right w:val="single" w:sz="4" w:space="0" w:color="000000"/>
            </w:tcBorders>
          </w:tcPr>
          <w:p w:rsidR="00DA3D3C" w:rsidRPr="004A613B" w:rsidRDefault="00DA3D3C" w:rsidP="00DA3D3C">
            <w:pPr>
              <w:pStyle w:val="NoSpacing"/>
              <w:jc w:val="both"/>
              <w:rPr>
                <w:rFonts w:ascii="Arial" w:hAnsi="Arial" w:cs="Arial"/>
                <w:color w:val="000000" w:themeColor="text1"/>
                <w:sz w:val="18"/>
                <w:szCs w:val="18"/>
              </w:rPr>
            </w:pPr>
            <w:r w:rsidRPr="004A613B">
              <w:rPr>
                <w:rFonts w:ascii="Arial" w:hAnsi="Arial" w:cs="Arial"/>
                <w:color w:val="000000" w:themeColor="text1"/>
                <w:sz w:val="18"/>
                <w:szCs w:val="18"/>
              </w:rPr>
              <w:t>Trg hrvatskih velikana 2, 10 000 Zagreb</w:t>
            </w:r>
          </w:p>
        </w:tc>
      </w:tr>
      <w:tr w:rsidR="00DA3D3C" w:rsidRPr="004A613B" w:rsidTr="00DA3D3C">
        <w:trPr>
          <w:trHeight w:val="355"/>
        </w:trPr>
        <w:tc>
          <w:tcPr>
            <w:tcW w:w="10349" w:type="dxa"/>
            <w:gridSpan w:val="2"/>
            <w:tcBorders>
              <w:top w:val="single" w:sz="4" w:space="0" w:color="000000"/>
              <w:left w:val="single" w:sz="4" w:space="0" w:color="000000"/>
              <w:bottom w:val="single" w:sz="4" w:space="0" w:color="000000"/>
              <w:right w:val="single" w:sz="4" w:space="0" w:color="000000"/>
            </w:tcBorders>
            <w:shd w:val="clear" w:color="auto" w:fill="FF6900"/>
            <w:vAlign w:val="center"/>
          </w:tcPr>
          <w:p w:rsidR="00DA3D3C" w:rsidRPr="004A613B" w:rsidRDefault="00DA3D3C" w:rsidP="00DA3D3C">
            <w:pPr>
              <w:pStyle w:val="NoSpacing"/>
              <w:rPr>
                <w:rFonts w:ascii="Arial" w:hAnsi="Arial" w:cs="Arial"/>
                <w:b/>
                <w:color w:val="000000" w:themeColor="text1"/>
                <w:sz w:val="18"/>
                <w:szCs w:val="18"/>
              </w:rPr>
            </w:pPr>
            <w:r w:rsidRPr="004A613B">
              <w:rPr>
                <w:rFonts w:ascii="Arial" w:hAnsi="Arial" w:cs="Arial"/>
                <w:b/>
                <w:color w:val="FFFFFF" w:themeColor="background1"/>
                <w:sz w:val="18"/>
                <w:szCs w:val="18"/>
              </w:rPr>
              <w:t>Datum dokumenta</w:t>
            </w:r>
          </w:p>
        </w:tc>
      </w:tr>
      <w:tr w:rsidR="00DA3D3C" w:rsidRPr="004A613B" w:rsidTr="00DF2438">
        <w:tc>
          <w:tcPr>
            <w:tcW w:w="10349" w:type="dxa"/>
            <w:gridSpan w:val="2"/>
            <w:tcBorders>
              <w:top w:val="single" w:sz="4" w:space="0" w:color="000000"/>
              <w:left w:val="single" w:sz="4" w:space="0" w:color="000000"/>
              <w:bottom w:val="single" w:sz="4" w:space="0" w:color="000000"/>
              <w:right w:val="single" w:sz="4" w:space="0" w:color="000000"/>
            </w:tcBorders>
          </w:tcPr>
          <w:p w:rsidR="00DA3D3C" w:rsidRPr="004A613B" w:rsidRDefault="004A2FE4" w:rsidP="00DA3D3C">
            <w:pPr>
              <w:pStyle w:val="NoSpacing"/>
              <w:rPr>
                <w:rFonts w:ascii="Arial" w:hAnsi="Arial" w:cs="Arial"/>
                <w:sz w:val="18"/>
                <w:szCs w:val="18"/>
              </w:rPr>
            </w:pPr>
            <w:r>
              <w:rPr>
                <w:rFonts w:ascii="Arial" w:hAnsi="Arial" w:cs="Arial"/>
                <w:sz w:val="18"/>
                <w:szCs w:val="18"/>
              </w:rPr>
              <w:t>1.siječanj</w:t>
            </w:r>
            <w:r w:rsidR="00DA3D3C" w:rsidRPr="004A613B">
              <w:rPr>
                <w:rFonts w:ascii="Arial" w:hAnsi="Arial" w:cs="Arial"/>
                <w:sz w:val="18"/>
                <w:szCs w:val="18"/>
              </w:rPr>
              <w:t xml:space="preserve"> 202</w:t>
            </w:r>
            <w:r>
              <w:rPr>
                <w:rFonts w:ascii="Arial" w:hAnsi="Arial" w:cs="Arial"/>
                <w:sz w:val="18"/>
                <w:szCs w:val="18"/>
              </w:rPr>
              <w:t>3</w:t>
            </w:r>
            <w:r w:rsidR="00DA3D3C" w:rsidRPr="004A613B">
              <w:rPr>
                <w:rFonts w:ascii="Arial" w:hAnsi="Arial" w:cs="Arial"/>
                <w:sz w:val="18"/>
                <w:szCs w:val="18"/>
              </w:rPr>
              <w:t>.</w:t>
            </w:r>
          </w:p>
        </w:tc>
      </w:tr>
    </w:tbl>
    <w:p w:rsidR="007B0EFE" w:rsidRPr="004A613B" w:rsidRDefault="007B0EFE" w:rsidP="00F70490">
      <w:pPr>
        <w:rPr>
          <w:rFonts w:ascii="Arial" w:hAnsi="Arial" w:cs="Arial"/>
          <w:b/>
          <w:color w:val="000000" w:themeColor="text1"/>
          <w:sz w:val="18"/>
          <w:szCs w:val="18"/>
        </w:rPr>
      </w:pPr>
    </w:p>
    <w:sectPr w:rsidR="007B0EFE" w:rsidRPr="004A613B" w:rsidSect="00AA0BFF">
      <w:headerReference w:type="default" r:id="rId12"/>
      <w:footerReference w:type="default" r:id="rId13"/>
      <w:pgSz w:w="11906" w:h="16838"/>
      <w:pgMar w:top="226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826" w:rsidRDefault="005E4826" w:rsidP="00F04DA6">
      <w:r>
        <w:separator/>
      </w:r>
    </w:p>
  </w:endnote>
  <w:endnote w:type="continuationSeparator" w:id="0">
    <w:p w:rsidR="005E4826" w:rsidRDefault="005E4826" w:rsidP="00F0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nos Pro Caption">
    <w:panose1 w:val="020C0502030503020304"/>
    <w:charset w:val="00"/>
    <w:family w:val="swiss"/>
    <w:notTrueType/>
    <w:pitch w:val="variable"/>
    <w:sig w:usb0="A00000AF" w:usb1="5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830923"/>
      <w:docPartObj>
        <w:docPartGallery w:val="Page Numbers (Bottom of Page)"/>
        <w:docPartUnique/>
      </w:docPartObj>
    </w:sdtPr>
    <w:sdtEndPr>
      <w:rPr>
        <w:noProof/>
      </w:rPr>
    </w:sdtEndPr>
    <w:sdtContent>
      <w:p w:rsidR="00AB561D" w:rsidRDefault="00AB561D">
        <w:pPr>
          <w:pStyle w:val="Footer"/>
          <w:jc w:val="right"/>
        </w:pPr>
        <w:r>
          <w:fldChar w:fldCharType="begin"/>
        </w:r>
        <w:r>
          <w:instrText xml:space="preserve"> PAGE   \* MERGEFORMAT </w:instrText>
        </w:r>
        <w:r>
          <w:fldChar w:fldCharType="separate"/>
        </w:r>
        <w:r w:rsidR="003E30CE">
          <w:rPr>
            <w:noProof/>
          </w:rPr>
          <w:t>2</w:t>
        </w:r>
        <w:r>
          <w:rPr>
            <w:noProof/>
          </w:rPr>
          <w:fldChar w:fldCharType="end"/>
        </w:r>
      </w:p>
    </w:sdtContent>
  </w:sdt>
  <w:p w:rsidR="00F04DA6" w:rsidRDefault="00F04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826" w:rsidRDefault="005E4826" w:rsidP="00F04DA6">
      <w:r>
        <w:separator/>
      </w:r>
    </w:p>
  </w:footnote>
  <w:footnote w:type="continuationSeparator" w:id="0">
    <w:p w:rsidR="005E4826" w:rsidRDefault="005E4826" w:rsidP="00F04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D3C" w:rsidRDefault="00DA3D3C">
    <w:pPr>
      <w:pStyle w:val="Header"/>
    </w:pPr>
    <w:r>
      <w:rPr>
        <w:noProof/>
        <w:lang w:eastAsia="en-GB"/>
      </w:rPr>
      <w:drawing>
        <wp:anchor distT="0" distB="0" distL="114300" distR="114300" simplePos="0" relativeHeight="251659264" behindDoc="1" locked="0" layoutInCell="1" allowOverlap="1" wp14:anchorId="25BD2004" wp14:editId="6382061A">
          <wp:simplePos x="0" y="0"/>
          <wp:positionH relativeFrom="page">
            <wp:posOffset>-5080</wp:posOffset>
          </wp:positionH>
          <wp:positionV relativeFrom="page">
            <wp:posOffset>1270</wp:posOffset>
          </wp:positionV>
          <wp:extent cx="7557770" cy="10696575"/>
          <wp:effectExtent l="19050" t="0" r="5080" b="0"/>
          <wp:wrapNone/>
          <wp:docPr id="9" name="Picture 9" descr="Poba Memo WORD PRAZNO D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ba Memo WORD PRAZNO DOLE.jpg"/>
                  <pic:cNvPicPr/>
                </pic:nvPicPr>
                <pic:blipFill>
                  <a:blip r:embed="rId1"/>
                  <a:stretch>
                    <a:fillRect/>
                  </a:stretch>
                </pic:blipFill>
                <pic:spPr>
                  <a:xfrm>
                    <a:off x="0" y="0"/>
                    <a:ext cx="7557770" cy="10696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6409"/>
    <w:multiLevelType w:val="hybridMultilevel"/>
    <w:tmpl w:val="C0701F44"/>
    <w:lvl w:ilvl="0" w:tplc="2DB263F6">
      <w:start w:val="1"/>
      <w:numFmt w:val="decimal"/>
      <w:lvlText w:val="%1."/>
      <w:lvlJc w:val="left"/>
      <w:pPr>
        <w:ind w:left="720" w:hanging="360"/>
      </w:pPr>
      <w:rPr>
        <w:rFonts w:cs="Times New Roman"/>
        <w:b/>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 w15:restartNumberingAfterBreak="0">
    <w:nsid w:val="07602816"/>
    <w:multiLevelType w:val="hybridMultilevel"/>
    <w:tmpl w:val="4122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770A2"/>
    <w:multiLevelType w:val="hybridMultilevel"/>
    <w:tmpl w:val="174073C6"/>
    <w:lvl w:ilvl="0" w:tplc="D5FCBF64">
      <w:numFmt w:val="bullet"/>
      <w:lvlText w:val="-"/>
      <w:lvlJc w:val="left"/>
      <w:pPr>
        <w:ind w:left="720" w:hanging="360"/>
      </w:pPr>
      <w:rPr>
        <w:rFonts w:ascii="Calibri" w:eastAsia="Times New Roman"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8306B06"/>
    <w:multiLevelType w:val="hybridMultilevel"/>
    <w:tmpl w:val="6F1E6A8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A2D3C02"/>
    <w:multiLevelType w:val="hybridMultilevel"/>
    <w:tmpl w:val="15C46994"/>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45014"/>
    <w:multiLevelType w:val="hybridMultilevel"/>
    <w:tmpl w:val="AB2A0FC0"/>
    <w:lvl w:ilvl="0" w:tplc="292C0416">
      <w:start w:val="72"/>
      <w:numFmt w:val="bullet"/>
      <w:lvlText w:val="-"/>
      <w:lvlJc w:val="left"/>
      <w:pPr>
        <w:ind w:left="720" w:hanging="360"/>
      </w:pPr>
      <w:rPr>
        <w:rFonts w:ascii="Cronos Pro Caption" w:eastAsia="Times New Roman" w:hAnsi="Cronos Pro Caption"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F4AE5"/>
    <w:multiLevelType w:val="hybridMultilevel"/>
    <w:tmpl w:val="BFE68578"/>
    <w:lvl w:ilvl="0" w:tplc="E13C5C9E">
      <w:start w:val="1"/>
      <w:numFmt w:val="lowerLetter"/>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AE318F"/>
    <w:multiLevelType w:val="hybridMultilevel"/>
    <w:tmpl w:val="3B324E86"/>
    <w:lvl w:ilvl="0" w:tplc="292C0416">
      <w:start w:val="72"/>
      <w:numFmt w:val="bullet"/>
      <w:lvlText w:val="-"/>
      <w:lvlJc w:val="left"/>
      <w:pPr>
        <w:ind w:left="720" w:hanging="360"/>
      </w:pPr>
      <w:rPr>
        <w:rFonts w:ascii="Cronos Pro Caption" w:eastAsia="Times New Roman" w:hAnsi="Cronos Pro Caption"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B5EE4"/>
    <w:multiLevelType w:val="hybridMultilevel"/>
    <w:tmpl w:val="1CDC8F18"/>
    <w:lvl w:ilvl="0" w:tplc="0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45688"/>
    <w:multiLevelType w:val="hybridMultilevel"/>
    <w:tmpl w:val="6DCCCAC6"/>
    <w:lvl w:ilvl="0" w:tplc="9160B94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5E7041"/>
    <w:multiLevelType w:val="hybridMultilevel"/>
    <w:tmpl w:val="E67E348C"/>
    <w:lvl w:ilvl="0" w:tplc="CA50E6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C589B"/>
    <w:multiLevelType w:val="hybridMultilevel"/>
    <w:tmpl w:val="27646966"/>
    <w:lvl w:ilvl="0" w:tplc="FDE01FC4">
      <w:numFmt w:val="bullet"/>
      <w:lvlText w:val="-"/>
      <w:lvlJc w:val="left"/>
      <w:pPr>
        <w:ind w:left="1065" w:hanging="705"/>
      </w:pPr>
      <w:rPr>
        <w:rFonts w:ascii="Cronos Pro Caption" w:eastAsia="Times New Roman" w:hAnsi="Cronos Pro Caption"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56B18"/>
    <w:multiLevelType w:val="hybridMultilevel"/>
    <w:tmpl w:val="829AE678"/>
    <w:lvl w:ilvl="0" w:tplc="292C0416">
      <w:start w:val="72"/>
      <w:numFmt w:val="bullet"/>
      <w:lvlText w:val="-"/>
      <w:lvlJc w:val="left"/>
      <w:pPr>
        <w:ind w:left="720" w:hanging="360"/>
      </w:pPr>
      <w:rPr>
        <w:rFonts w:ascii="Cronos Pro Caption" w:eastAsia="Times New Roman" w:hAnsi="Cronos Pro Caption"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961C2F"/>
    <w:multiLevelType w:val="hybridMultilevel"/>
    <w:tmpl w:val="50B8322E"/>
    <w:lvl w:ilvl="0" w:tplc="6680CF10">
      <w:start w:val="1"/>
      <w:numFmt w:val="decimal"/>
      <w:lvlText w:val="%1."/>
      <w:lvlJc w:val="left"/>
      <w:pPr>
        <w:ind w:left="394" w:hanging="360"/>
      </w:pPr>
      <w:rPr>
        <w:rFonts w:hint="default"/>
      </w:r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1"/>
  </w:num>
  <w:num w:numId="6">
    <w:abstractNumId w:val="7"/>
  </w:num>
  <w:num w:numId="7">
    <w:abstractNumId w:val="5"/>
  </w:num>
  <w:num w:numId="8">
    <w:abstractNumId w:val="11"/>
  </w:num>
  <w:num w:numId="9">
    <w:abstractNumId w:val="12"/>
  </w:num>
  <w:num w:numId="10">
    <w:abstractNumId w:val="2"/>
  </w:num>
  <w:num w:numId="11">
    <w:abstractNumId w:val="6"/>
  </w:num>
  <w:num w:numId="12">
    <w:abstractNumId w:val="3"/>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90"/>
    <w:rsid w:val="00004FDF"/>
    <w:rsid w:val="00011D52"/>
    <w:rsid w:val="0003092D"/>
    <w:rsid w:val="0003465F"/>
    <w:rsid w:val="00040FC1"/>
    <w:rsid w:val="00046114"/>
    <w:rsid w:val="000504B6"/>
    <w:rsid w:val="00051A99"/>
    <w:rsid w:val="00056DC3"/>
    <w:rsid w:val="00067EB1"/>
    <w:rsid w:val="00067F13"/>
    <w:rsid w:val="000719D5"/>
    <w:rsid w:val="00075FB6"/>
    <w:rsid w:val="00081529"/>
    <w:rsid w:val="00084A35"/>
    <w:rsid w:val="0008604C"/>
    <w:rsid w:val="0008728F"/>
    <w:rsid w:val="00097E5B"/>
    <w:rsid w:val="000B2E2A"/>
    <w:rsid w:val="000B3AB5"/>
    <w:rsid w:val="000C1D35"/>
    <w:rsid w:val="000E5650"/>
    <w:rsid w:val="000F381C"/>
    <w:rsid w:val="0011459D"/>
    <w:rsid w:val="0011617C"/>
    <w:rsid w:val="001202DF"/>
    <w:rsid w:val="0012625D"/>
    <w:rsid w:val="0013463E"/>
    <w:rsid w:val="0013520C"/>
    <w:rsid w:val="00137200"/>
    <w:rsid w:val="001468FB"/>
    <w:rsid w:val="00147518"/>
    <w:rsid w:val="001558E2"/>
    <w:rsid w:val="00166D49"/>
    <w:rsid w:val="0017135C"/>
    <w:rsid w:val="001769F7"/>
    <w:rsid w:val="001913AA"/>
    <w:rsid w:val="00195603"/>
    <w:rsid w:val="001C6502"/>
    <w:rsid w:val="001D0657"/>
    <w:rsid w:val="001E4657"/>
    <w:rsid w:val="001E7F5E"/>
    <w:rsid w:val="001F0C32"/>
    <w:rsid w:val="001F22CE"/>
    <w:rsid w:val="001F5A7C"/>
    <w:rsid w:val="00201C10"/>
    <w:rsid w:val="00207CCB"/>
    <w:rsid w:val="0021262F"/>
    <w:rsid w:val="0023212F"/>
    <w:rsid w:val="00233024"/>
    <w:rsid w:val="00233611"/>
    <w:rsid w:val="0023430A"/>
    <w:rsid w:val="002525FE"/>
    <w:rsid w:val="00256F0F"/>
    <w:rsid w:val="002661B5"/>
    <w:rsid w:val="00266679"/>
    <w:rsid w:val="0027357B"/>
    <w:rsid w:val="00273D50"/>
    <w:rsid w:val="002970AD"/>
    <w:rsid w:val="002B11CB"/>
    <w:rsid w:val="002C64BE"/>
    <w:rsid w:val="002D1905"/>
    <w:rsid w:val="002D519C"/>
    <w:rsid w:val="002E0022"/>
    <w:rsid w:val="002E346D"/>
    <w:rsid w:val="002E376A"/>
    <w:rsid w:val="002E7D96"/>
    <w:rsid w:val="002F2135"/>
    <w:rsid w:val="002F3385"/>
    <w:rsid w:val="002F5E35"/>
    <w:rsid w:val="003102A8"/>
    <w:rsid w:val="00316581"/>
    <w:rsid w:val="00325B67"/>
    <w:rsid w:val="00330395"/>
    <w:rsid w:val="00335356"/>
    <w:rsid w:val="0034346D"/>
    <w:rsid w:val="003450FC"/>
    <w:rsid w:val="00353ABF"/>
    <w:rsid w:val="003557E9"/>
    <w:rsid w:val="00356E2C"/>
    <w:rsid w:val="00357337"/>
    <w:rsid w:val="00362079"/>
    <w:rsid w:val="00370154"/>
    <w:rsid w:val="00383177"/>
    <w:rsid w:val="00384654"/>
    <w:rsid w:val="003856FE"/>
    <w:rsid w:val="003A4E40"/>
    <w:rsid w:val="003A5A9F"/>
    <w:rsid w:val="003C0E82"/>
    <w:rsid w:val="003C3660"/>
    <w:rsid w:val="003D1DA2"/>
    <w:rsid w:val="003D2407"/>
    <w:rsid w:val="003E30CE"/>
    <w:rsid w:val="003E427A"/>
    <w:rsid w:val="003E6CE7"/>
    <w:rsid w:val="00403084"/>
    <w:rsid w:val="00407887"/>
    <w:rsid w:val="00407C3A"/>
    <w:rsid w:val="00425C5B"/>
    <w:rsid w:val="0044154D"/>
    <w:rsid w:val="004518C5"/>
    <w:rsid w:val="0045621A"/>
    <w:rsid w:val="00456239"/>
    <w:rsid w:val="00460220"/>
    <w:rsid w:val="00482A1C"/>
    <w:rsid w:val="00484C18"/>
    <w:rsid w:val="00494479"/>
    <w:rsid w:val="004A2FE4"/>
    <w:rsid w:val="004A613B"/>
    <w:rsid w:val="004B1969"/>
    <w:rsid w:val="004B53A0"/>
    <w:rsid w:val="004C0AFC"/>
    <w:rsid w:val="004C1191"/>
    <w:rsid w:val="004C5C1F"/>
    <w:rsid w:val="004D0B6C"/>
    <w:rsid w:val="004D5881"/>
    <w:rsid w:val="004E3710"/>
    <w:rsid w:val="004E7BA0"/>
    <w:rsid w:val="004F3A55"/>
    <w:rsid w:val="00502F52"/>
    <w:rsid w:val="00506408"/>
    <w:rsid w:val="0051345F"/>
    <w:rsid w:val="005455F0"/>
    <w:rsid w:val="00551686"/>
    <w:rsid w:val="00555CDE"/>
    <w:rsid w:val="00583315"/>
    <w:rsid w:val="00584F5C"/>
    <w:rsid w:val="00585708"/>
    <w:rsid w:val="00596B5F"/>
    <w:rsid w:val="005A05B9"/>
    <w:rsid w:val="005A2527"/>
    <w:rsid w:val="005A32A4"/>
    <w:rsid w:val="005A4ACF"/>
    <w:rsid w:val="005B644B"/>
    <w:rsid w:val="005B7C9C"/>
    <w:rsid w:val="005C16D6"/>
    <w:rsid w:val="005E0E44"/>
    <w:rsid w:val="005E4826"/>
    <w:rsid w:val="005F3A82"/>
    <w:rsid w:val="005F5923"/>
    <w:rsid w:val="0061060C"/>
    <w:rsid w:val="0061758A"/>
    <w:rsid w:val="006237D2"/>
    <w:rsid w:val="00626210"/>
    <w:rsid w:val="00632642"/>
    <w:rsid w:val="00632767"/>
    <w:rsid w:val="00633355"/>
    <w:rsid w:val="0063404A"/>
    <w:rsid w:val="00645F33"/>
    <w:rsid w:val="006562F6"/>
    <w:rsid w:val="006618B1"/>
    <w:rsid w:val="006638E6"/>
    <w:rsid w:val="00670FA0"/>
    <w:rsid w:val="00680B66"/>
    <w:rsid w:val="00682C76"/>
    <w:rsid w:val="00684DD9"/>
    <w:rsid w:val="00695367"/>
    <w:rsid w:val="006B2AEF"/>
    <w:rsid w:val="006C3ED5"/>
    <w:rsid w:val="006C6F85"/>
    <w:rsid w:val="006D09CF"/>
    <w:rsid w:val="006D0DFB"/>
    <w:rsid w:val="006D494B"/>
    <w:rsid w:val="006E55D0"/>
    <w:rsid w:val="006F27DD"/>
    <w:rsid w:val="006F5746"/>
    <w:rsid w:val="007039CB"/>
    <w:rsid w:val="00715151"/>
    <w:rsid w:val="007170B4"/>
    <w:rsid w:val="00735100"/>
    <w:rsid w:val="00737A60"/>
    <w:rsid w:val="00737FDF"/>
    <w:rsid w:val="0075239D"/>
    <w:rsid w:val="00762ACF"/>
    <w:rsid w:val="007731A9"/>
    <w:rsid w:val="00785B53"/>
    <w:rsid w:val="007A2C4C"/>
    <w:rsid w:val="007B029A"/>
    <w:rsid w:val="007B0EFE"/>
    <w:rsid w:val="007B68FA"/>
    <w:rsid w:val="007C0E7B"/>
    <w:rsid w:val="007C14C5"/>
    <w:rsid w:val="007D0898"/>
    <w:rsid w:val="007D2E60"/>
    <w:rsid w:val="007D44DD"/>
    <w:rsid w:val="007D4B4B"/>
    <w:rsid w:val="007D64A2"/>
    <w:rsid w:val="007E7B68"/>
    <w:rsid w:val="007F0670"/>
    <w:rsid w:val="007F1695"/>
    <w:rsid w:val="00801939"/>
    <w:rsid w:val="00811985"/>
    <w:rsid w:val="0081410E"/>
    <w:rsid w:val="00816B0A"/>
    <w:rsid w:val="00820E16"/>
    <w:rsid w:val="00822457"/>
    <w:rsid w:val="008274F1"/>
    <w:rsid w:val="00830F5D"/>
    <w:rsid w:val="00843592"/>
    <w:rsid w:val="00843A22"/>
    <w:rsid w:val="00844126"/>
    <w:rsid w:val="00844BCD"/>
    <w:rsid w:val="00845483"/>
    <w:rsid w:val="00850267"/>
    <w:rsid w:val="00853E19"/>
    <w:rsid w:val="0086135D"/>
    <w:rsid w:val="008614E5"/>
    <w:rsid w:val="00865360"/>
    <w:rsid w:val="008711CC"/>
    <w:rsid w:val="008714E9"/>
    <w:rsid w:val="008777C6"/>
    <w:rsid w:val="008809C7"/>
    <w:rsid w:val="00884AB0"/>
    <w:rsid w:val="00887862"/>
    <w:rsid w:val="008879C7"/>
    <w:rsid w:val="00891BC3"/>
    <w:rsid w:val="00892ED1"/>
    <w:rsid w:val="008943B1"/>
    <w:rsid w:val="008A03E2"/>
    <w:rsid w:val="008B0613"/>
    <w:rsid w:val="008B1B2C"/>
    <w:rsid w:val="008B50B6"/>
    <w:rsid w:val="008B5C95"/>
    <w:rsid w:val="008B6CED"/>
    <w:rsid w:val="008E0638"/>
    <w:rsid w:val="008E102B"/>
    <w:rsid w:val="008E3155"/>
    <w:rsid w:val="008E40DF"/>
    <w:rsid w:val="008E5F02"/>
    <w:rsid w:val="008F0C0C"/>
    <w:rsid w:val="008F33D2"/>
    <w:rsid w:val="008F46FF"/>
    <w:rsid w:val="00905232"/>
    <w:rsid w:val="00921BD9"/>
    <w:rsid w:val="00923962"/>
    <w:rsid w:val="009250B7"/>
    <w:rsid w:val="00934FB4"/>
    <w:rsid w:val="00942029"/>
    <w:rsid w:val="00942756"/>
    <w:rsid w:val="00950D5A"/>
    <w:rsid w:val="00965CF6"/>
    <w:rsid w:val="0097233B"/>
    <w:rsid w:val="0097386F"/>
    <w:rsid w:val="00974CDB"/>
    <w:rsid w:val="00975CBE"/>
    <w:rsid w:val="00976792"/>
    <w:rsid w:val="00990E60"/>
    <w:rsid w:val="009C200B"/>
    <w:rsid w:val="009C3EB4"/>
    <w:rsid w:val="009C433B"/>
    <w:rsid w:val="009C6C9D"/>
    <w:rsid w:val="009D1F6C"/>
    <w:rsid w:val="009E1FEF"/>
    <w:rsid w:val="009E39F5"/>
    <w:rsid w:val="009E50B0"/>
    <w:rsid w:val="009E54B0"/>
    <w:rsid w:val="009E7EE5"/>
    <w:rsid w:val="009F1A6D"/>
    <w:rsid w:val="00A062CD"/>
    <w:rsid w:val="00A14C2D"/>
    <w:rsid w:val="00A1589D"/>
    <w:rsid w:val="00A22868"/>
    <w:rsid w:val="00A46C3C"/>
    <w:rsid w:val="00A56F4F"/>
    <w:rsid w:val="00A63DB0"/>
    <w:rsid w:val="00A6408A"/>
    <w:rsid w:val="00A667D1"/>
    <w:rsid w:val="00A7456C"/>
    <w:rsid w:val="00A77503"/>
    <w:rsid w:val="00A84213"/>
    <w:rsid w:val="00A95BBF"/>
    <w:rsid w:val="00A95D03"/>
    <w:rsid w:val="00A97634"/>
    <w:rsid w:val="00AA0BFF"/>
    <w:rsid w:val="00AA14A7"/>
    <w:rsid w:val="00AA5EC5"/>
    <w:rsid w:val="00AB561D"/>
    <w:rsid w:val="00AC3613"/>
    <w:rsid w:val="00AC71DC"/>
    <w:rsid w:val="00AE5249"/>
    <w:rsid w:val="00B22419"/>
    <w:rsid w:val="00B37114"/>
    <w:rsid w:val="00B42C27"/>
    <w:rsid w:val="00B433D4"/>
    <w:rsid w:val="00B472FD"/>
    <w:rsid w:val="00B47BDD"/>
    <w:rsid w:val="00B52784"/>
    <w:rsid w:val="00B57B0D"/>
    <w:rsid w:val="00B63F72"/>
    <w:rsid w:val="00B641FB"/>
    <w:rsid w:val="00B72966"/>
    <w:rsid w:val="00B74407"/>
    <w:rsid w:val="00B77F33"/>
    <w:rsid w:val="00B81EBF"/>
    <w:rsid w:val="00B9022B"/>
    <w:rsid w:val="00B9756F"/>
    <w:rsid w:val="00B978C0"/>
    <w:rsid w:val="00BA7FE8"/>
    <w:rsid w:val="00BB4FB2"/>
    <w:rsid w:val="00BB7884"/>
    <w:rsid w:val="00BC6787"/>
    <w:rsid w:val="00BD222A"/>
    <w:rsid w:val="00BE4F65"/>
    <w:rsid w:val="00BF5648"/>
    <w:rsid w:val="00C143F1"/>
    <w:rsid w:val="00C24ED9"/>
    <w:rsid w:val="00C37C25"/>
    <w:rsid w:val="00C461F7"/>
    <w:rsid w:val="00C50E14"/>
    <w:rsid w:val="00C64524"/>
    <w:rsid w:val="00C75D6C"/>
    <w:rsid w:val="00C817BF"/>
    <w:rsid w:val="00C85C02"/>
    <w:rsid w:val="00CA47F8"/>
    <w:rsid w:val="00CA53D4"/>
    <w:rsid w:val="00CB17AE"/>
    <w:rsid w:val="00CB45B4"/>
    <w:rsid w:val="00CB78FD"/>
    <w:rsid w:val="00CC2312"/>
    <w:rsid w:val="00CC43B2"/>
    <w:rsid w:val="00CD0271"/>
    <w:rsid w:val="00CD591F"/>
    <w:rsid w:val="00CF18ED"/>
    <w:rsid w:val="00CF57A5"/>
    <w:rsid w:val="00CF779C"/>
    <w:rsid w:val="00D03826"/>
    <w:rsid w:val="00D23B76"/>
    <w:rsid w:val="00D40175"/>
    <w:rsid w:val="00D50110"/>
    <w:rsid w:val="00D55F5F"/>
    <w:rsid w:val="00D87F9B"/>
    <w:rsid w:val="00D9470C"/>
    <w:rsid w:val="00DA0D62"/>
    <w:rsid w:val="00DA161B"/>
    <w:rsid w:val="00DA25C9"/>
    <w:rsid w:val="00DA3B1B"/>
    <w:rsid w:val="00DA3D3C"/>
    <w:rsid w:val="00DB1A93"/>
    <w:rsid w:val="00DF047C"/>
    <w:rsid w:val="00DF05BB"/>
    <w:rsid w:val="00DF0FEA"/>
    <w:rsid w:val="00DF1AD7"/>
    <w:rsid w:val="00DF2CA4"/>
    <w:rsid w:val="00DF6BA2"/>
    <w:rsid w:val="00E043C9"/>
    <w:rsid w:val="00E103C1"/>
    <w:rsid w:val="00E227C8"/>
    <w:rsid w:val="00E248B4"/>
    <w:rsid w:val="00E25953"/>
    <w:rsid w:val="00E30437"/>
    <w:rsid w:val="00E30C18"/>
    <w:rsid w:val="00E545FD"/>
    <w:rsid w:val="00E65728"/>
    <w:rsid w:val="00E6692B"/>
    <w:rsid w:val="00E738E1"/>
    <w:rsid w:val="00E859AA"/>
    <w:rsid w:val="00E85E63"/>
    <w:rsid w:val="00EA413B"/>
    <w:rsid w:val="00EB59B5"/>
    <w:rsid w:val="00EB5CB5"/>
    <w:rsid w:val="00EE0B69"/>
    <w:rsid w:val="00EE6A96"/>
    <w:rsid w:val="00EF2DC0"/>
    <w:rsid w:val="00EF6E31"/>
    <w:rsid w:val="00F04DA6"/>
    <w:rsid w:val="00F07014"/>
    <w:rsid w:val="00F12B23"/>
    <w:rsid w:val="00F25266"/>
    <w:rsid w:val="00F275FE"/>
    <w:rsid w:val="00F31BF2"/>
    <w:rsid w:val="00F43D57"/>
    <w:rsid w:val="00F47959"/>
    <w:rsid w:val="00F52F62"/>
    <w:rsid w:val="00F530E9"/>
    <w:rsid w:val="00F571BF"/>
    <w:rsid w:val="00F66FA6"/>
    <w:rsid w:val="00F67C85"/>
    <w:rsid w:val="00F70490"/>
    <w:rsid w:val="00F726E6"/>
    <w:rsid w:val="00F87A8A"/>
    <w:rsid w:val="00F950CC"/>
    <w:rsid w:val="00FB311B"/>
    <w:rsid w:val="00FC3EB7"/>
    <w:rsid w:val="00FC4792"/>
    <w:rsid w:val="00FD3D6F"/>
    <w:rsid w:val="00FE4066"/>
    <w:rsid w:val="00FE637F"/>
    <w:rsid w:val="00FE6DEA"/>
    <w:rsid w:val="00FF1105"/>
    <w:rsid w:val="00FF28C1"/>
    <w:rsid w:val="00FF5135"/>
    <w:rsid w:val="00FF6AFD"/>
    <w:rsid w:val="00FF78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7B8B9-616D-4D25-B5D1-E37D88AD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490"/>
    <w:pPr>
      <w:autoSpaceDE w:val="0"/>
      <w:autoSpaceDN w:val="0"/>
      <w:spacing w:after="0" w:line="240" w:lineRule="auto"/>
      <w:jc w:val="both"/>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490"/>
    <w:rPr>
      <w:color w:val="0000FF" w:themeColor="hyperlink"/>
      <w:u w:val="single"/>
    </w:rPr>
  </w:style>
  <w:style w:type="paragraph" w:styleId="BodyTextIndent">
    <w:name w:val="Body Text Indent"/>
    <w:basedOn w:val="Normal"/>
    <w:link w:val="BodyTextIndentChar"/>
    <w:uiPriority w:val="99"/>
    <w:unhideWhenUsed/>
    <w:rsid w:val="00F70490"/>
    <w:pPr>
      <w:spacing w:after="120"/>
      <w:ind w:left="283"/>
    </w:pPr>
  </w:style>
  <w:style w:type="character" w:customStyle="1" w:styleId="BodyTextIndentChar">
    <w:name w:val="Body Text Indent Char"/>
    <w:basedOn w:val="DefaultParagraphFont"/>
    <w:link w:val="BodyTextIndent"/>
    <w:uiPriority w:val="99"/>
    <w:rsid w:val="00F70490"/>
    <w:rPr>
      <w:rFonts w:ascii="Times New Roman" w:eastAsia="Times New Roman" w:hAnsi="Times New Roman" w:cs="Times New Roman"/>
      <w:sz w:val="24"/>
      <w:szCs w:val="24"/>
      <w:lang w:eastAsia="hr-HR"/>
    </w:rPr>
  </w:style>
  <w:style w:type="paragraph" w:styleId="NoSpacing">
    <w:name w:val="No Spacing"/>
    <w:uiPriority w:val="99"/>
    <w:qFormat/>
    <w:rsid w:val="00F70490"/>
    <w:pPr>
      <w:spacing w:after="0" w:line="240" w:lineRule="auto"/>
    </w:pPr>
    <w:rPr>
      <w:rFonts w:ascii="Calibri" w:eastAsia="Times New Roman" w:hAnsi="Calibri" w:cs="Times New Roman"/>
    </w:rPr>
  </w:style>
  <w:style w:type="paragraph" w:styleId="ListParagraph">
    <w:name w:val="List Paragraph"/>
    <w:basedOn w:val="Normal"/>
    <w:uiPriority w:val="34"/>
    <w:qFormat/>
    <w:rsid w:val="00F70490"/>
    <w:pPr>
      <w:autoSpaceDE/>
      <w:autoSpaceDN/>
      <w:spacing w:after="200" w:line="276" w:lineRule="auto"/>
      <w:ind w:left="720"/>
      <w:contextualSpacing/>
      <w:jc w:val="left"/>
    </w:pPr>
    <w:rPr>
      <w:rFonts w:ascii="Calibri" w:hAnsi="Calibri"/>
      <w:sz w:val="22"/>
      <w:szCs w:val="22"/>
      <w:lang w:eastAsia="en-US"/>
    </w:rPr>
  </w:style>
  <w:style w:type="paragraph" w:customStyle="1" w:styleId="Default">
    <w:name w:val="Default"/>
    <w:rsid w:val="00F70490"/>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BalloonText">
    <w:name w:val="Balloon Text"/>
    <w:basedOn w:val="Normal"/>
    <w:link w:val="BalloonTextChar"/>
    <w:uiPriority w:val="99"/>
    <w:semiHidden/>
    <w:unhideWhenUsed/>
    <w:rsid w:val="00F70490"/>
    <w:rPr>
      <w:rFonts w:ascii="Tahoma" w:hAnsi="Tahoma" w:cs="Tahoma"/>
      <w:sz w:val="16"/>
      <w:szCs w:val="16"/>
    </w:rPr>
  </w:style>
  <w:style w:type="character" w:customStyle="1" w:styleId="BalloonTextChar">
    <w:name w:val="Balloon Text Char"/>
    <w:basedOn w:val="DefaultParagraphFont"/>
    <w:link w:val="BalloonText"/>
    <w:uiPriority w:val="99"/>
    <w:semiHidden/>
    <w:rsid w:val="00F70490"/>
    <w:rPr>
      <w:rFonts w:ascii="Tahoma" w:eastAsia="Times New Roman" w:hAnsi="Tahoma" w:cs="Tahoma"/>
      <w:sz w:val="16"/>
      <w:szCs w:val="16"/>
      <w:lang w:eastAsia="hr-HR"/>
    </w:rPr>
  </w:style>
  <w:style w:type="character" w:styleId="CommentReference">
    <w:name w:val="annotation reference"/>
    <w:basedOn w:val="DefaultParagraphFont"/>
    <w:uiPriority w:val="99"/>
    <w:semiHidden/>
    <w:unhideWhenUsed/>
    <w:rsid w:val="0051345F"/>
    <w:rPr>
      <w:rFonts w:cs="Times New Roman"/>
      <w:sz w:val="16"/>
      <w:szCs w:val="16"/>
    </w:rPr>
  </w:style>
  <w:style w:type="paragraph" w:styleId="CommentText">
    <w:name w:val="annotation text"/>
    <w:basedOn w:val="Normal"/>
    <w:link w:val="CommentTextChar"/>
    <w:uiPriority w:val="99"/>
    <w:semiHidden/>
    <w:unhideWhenUsed/>
    <w:rsid w:val="0051345F"/>
    <w:rPr>
      <w:sz w:val="20"/>
      <w:szCs w:val="20"/>
    </w:rPr>
  </w:style>
  <w:style w:type="character" w:customStyle="1" w:styleId="CommentTextChar">
    <w:name w:val="Comment Text Char"/>
    <w:basedOn w:val="DefaultParagraphFont"/>
    <w:link w:val="CommentText"/>
    <w:uiPriority w:val="99"/>
    <w:semiHidden/>
    <w:rsid w:val="0051345F"/>
    <w:rPr>
      <w:rFonts w:ascii="Times New Roman" w:eastAsia="Times New Roman" w:hAnsi="Times New Roman" w:cs="Times New Roman"/>
      <w:sz w:val="20"/>
      <w:szCs w:val="20"/>
      <w:lang w:eastAsia="hr-HR"/>
    </w:rPr>
  </w:style>
  <w:style w:type="paragraph" w:styleId="Header">
    <w:name w:val="header"/>
    <w:basedOn w:val="Normal"/>
    <w:link w:val="HeaderChar"/>
    <w:uiPriority w:val="99"/>
    <w:unhideWhenUsed/>
    <w:rsid w:val="00F04DA6"/>
    <w:pPr>
      <w:tabs>
        <w:tab w:val="center" w:pos="4703"/>
        <w:tab w:val="right" w:pos="9406"/>
      </w:tabs>
    </w:pPr>
  </w:style>
  <w:style w:type="character" w:customStyle="1" w:styleId="HeaderChar">
    <w:name w:val="Header Char"/>
    <w:basedOn w:val="DefaultParagraphFont"/>
    <w:link w:val="Header"/>
    <w:uiPriority w:val="99"/>
    <w:rsid w:val="00F04DA6"/>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F04DA6"/>
    <w:pPr>
      <w:tabs>
        <w:tab w:val="center" w:pos="4703"/>
        <w:tab w:val="right" w:pos="9406"/>
      </w:tabs>
    </w:pPr>
  </w:style>
  <w:style w:type="character" w:customStyle="1" w:styleId="FooterChar">
    <w:name w:val="Footer Char"/>
    <w:basedOn w:val="DefaultParagraphFont"/>
    <w:link w:val="Footer"/>
    <w:uiPriority w:val="99"/>
    <w:rsid w:val="00F04DA6"/>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4A2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9284">
      <w:bodyDiv w:val="1"/>
      <w:marLeft w:val="0"/>
      <w:marRight w:val="0"/>
      <w:marTop w:val="0"/>
      <w:marBottom w:val="0"/>
      <w:divBdr>
        <w:top w:val="none" w:sz="0" w:space="0" w:color="auto"/>
        <w:left w:val="none" w:sz="0" w:space="0" w:color="auto"/>
        <w:bottom w:val="none" w:sz="0" w:space="0" w:color="auto"/>
        <w:right w:val="none" w:sz="0" w:space="0" w:color="auto"/>
      </w:divBdr>
    </w:div>
    <w:div w:id="47193324">
      <w:bodyDiv w:val="1"/>
      <w:marLeft w:val="0"/>
      <w:marRight w:val="0"/>
      <w:marTop w:val="0"/>
      <w:marBottom w:val="0"/>
      <w:divBdr>
        <w:top w:val="none" w:sz="0" w:space="0" w:color="auto"/>
        <w:left w:val="none" w:sz="0" w:space="0" w:color="auto"/>
        <w:bottom w:val="none" w:sz="0" w:space="0" w:color="auto"/>
        <w:right w:val="none" w:sz="0" w:space="0" w:color="auto"/>
      </w:divBdr>
    </w:div>
    <w:div w:id="626935878">
      <w:bodyDiv w:val="1"/>
      <w:marLeft w:val="0"/>
      <w:marRight w:val="0"/>
      <w:marTop w:val="0"/>
      <w:marBottom w:val="0"/>
      <w:divBdr>
        <w:top w:val="none" w:sz="0" w:space="0" w:color="auto"/>
        <w:left w:val="none" w:sz="0" w:space="0" w:color="auto"/>
        <w:bottom w:val="none" w:sz="0" w:space="0" w:color="auto"/>
        <w:right w:val="none" w:sz="0" w:space="0" w:color="auto"/>
      </w:divBdr>
    </w:div>
    <w:div w:id="827751005">
      <w:bodyDiv w:val="1"/>
      <w:marLeft w:val="0"/>
      <w:marRight w:val="0"/>
      <w:marTop w:val="0"/>
      <w:marBottom w:val="0"/>
      <w:divBdr>
        <w:top w:val="none" w:sz="0" w:space="0" w:color="auto"/>
        <w:left w:val="none" w:sz="0" w:space="0" w:color="auto"/>
        <w:bottom w:val="none" w:sz="0" w:space="0" w:color="auto"/>
        <w:right w:val="none" w:sz="0" w:space="0" w:color="auto"/>
      </w:divBdr>
    </w:div>
    <w:div w:id="851913669">
      <w:bodyDiv w:val="1"/>
      <w:marLeft w:val="0"/>
      <w:marRight w:val="0"/>
      <w:marTop w:val="0"/>
      <w:marBottom w:val="0"/>
      <w:divBdr>
        <w:top w:val="none" w:sz="0" w:space="0" w:color="auto"/>
        <w:left w:val="none" w:sz="0" w:space="0" w:color="auto"/>
        <w:bottom w:val="none" w:sz="0" w:space="0" w:color="auto"/>
        <w:right w:val="none" w:sz="0" w:space="0" w:color="auto"/>
      </w:divBdr>
    </w:div>
    <w:div w:id="875657840">
      <w:bodyDiv w:val="1"/>
      <w:marLeft w:val="0"/>
      <w:marRight w:val="0"/>
      <w:marTop w:val="0"/>
      <w:marBottom w:val="0"/>
      <w:divBdr>
        <w:top w:val="none" w:sz="0" w:space="0" w:color="auto"/>
        <w:left w:val="none" w:sz="0" w:space="0" w:color="auto"/>
        <w:bottom w:val="none" w:sz="0" w:space="0" w:color="auto"/>
        <w:right w:val="none" w:sz="0" w:space="0" w:color="auto"/>
      </w:divBdr>
    </w:div>
    <w:div w:id="941493453">
      <w:bodyDiv w:val="1"/>
      <w:marLeft w:val="0"/>
      <w:marRight w:val="0"/>
      <w:marTop w:val="0"/>
      <w:marBottom w:val="0"/>
      <w:divBdr>
        <w:top w:val="none" w:sz="0" w:space="0" w:color="auto"/>
        <w:left w:val="none" w:sz="0" w:space="0" w:color="auto"/>
        <w:bottom w:val="none" w:sz="0" w:space="0" w:color="auto"/>
        <w:right w:val="none" w:sz="0" w:space="0" w:color="auto"/>
      </w:divBdr>
    </w:div>
    <w:div w:id="1173490275">
      <w:bodyDiv w:val="1"/>
      <w:marLeft w:val="0"/>
      <w:marRight w:val="0"/>
      <w:marTop w:val="0"/>
      <w:marBottom w:val="0"/>
      <w:divBdr>
        <w:top w:val="none" w:sz="0" w:space="0" w:color="auto"/>
        <w:left w:val="none" w:sz="0" w:space="0" w:color="auto"/>
        <w:bottom w:val="none" w:sz="0" w:space="0" w:color="auto"/>
        <w:right w:val="none" w:sz="0" w:space="0" w:color="auto"/>
      </w:divBdr>
    </w:div>
    <w:div w:id="1235092093">
      <w:bodyDiv w:val="1"/>
      <w:marLeft w:val="0"/>
      <w:marRight w:val="0"/>
      <w:marTop w:val="0"/>
      <w:marBottom w:val="0"/>
      <w:divBdr>
        <w:top w:val="none" w:sz="0" w:space="0" w:color="auto"/>
        <w:left w:val="none" w:sz="0" w:space="0" w:color="auto"/>
        <w:bottom w:val="none" w:sz="0" w:space="0" w:color="auto"/>
        <w:right w:val="none" w:sz="0" w:space="0" w:color="auto"/>
      </w:divBdr>
    </w:div>
    <w:div w:id="1521623695">
      <w:bodyDiv w:val="1"/>
      <w:marLeft w:val="0"/>
      <w:marRight w:val="0"/>
      <w:marTop w:val="0"/>
      <w:marBottom w:val="0"/>
      <w:divBdr>
        <w:top w:val="none" w:sz="0" w:space="0" w:color="auto"/>
        <w:left w:val="none" w:sz="0" w:space="0" w:color="auto"/>
        <w:bottom w:val="none" w:sz="0" w:space="0" w:color="auto"/>
        <w:right w:val="none" w:sz="0" w:space="0" w:color="auto"/>
      </w:divBdr>
    </w:div>
    <w:div w:id="1871599442">
      <w:bodyDiv w:val="1"/>
      <w:marLeft w:val="0"/>
      <w:marRight w:val="0"/>
      <w:marTop w:val="0"/>
      <w:marBottom w:val="0"/>
      <w:divBdr>
        <w:top w:val="none" w:sz="0" w:space="0" w:color="auto"/>
        <w:left w:val="none" w:sz="0" w:space="0" w:color="auto"/>
        <w:bottom w:val="none" w:sz="0" w:space="0" w:color="auto"/>
        <w:right w:val="none" w:sz="0" w:space="0" w:color="auto"/>
      </w:divBdr>
    </w:div>
    <w:div w:id="2085491510">
      <w:bodyDiv w:val="1"/>
      <w:marLeft w:val="0"/>
      <w:marRight w:val="0"/>
      <w:marTop w:val="0"/>
      <w:marBottom w:val="0"/>
      <w:divBdr>
        <w:top w:val="none" w:sz="0" w:space="0" w:color="auto"/>
        <w:left w:val="none" w:sz="0" w:space="0" w:color="auto"/>
        <w:bottom w:val="none" w:sz="0" w:space="0" w:color="auto"/>
        <w:right w:val="none" w:sz="0" w:space="0" w:color="auto"/>
      </w:divBdr>
    </w:div>
    <w:div w:id="209185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ba.h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uribor-rates.e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nb.h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oba.hr" TargetMode="External"/><Relationship Id="rId4" Type="http://schemas.openxmlformats.org/officeDocument/2006/relationships/webSettings" Target="webSettings.xml"/><Relationship Id="rId9" Type="http://schemas.openxmlformats.org/officeDocument/2006/relationships/hyperlink" Target="mailto:prigovor@poba.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Brajnić</dc:creator>
  <cp:lastModifiedBy>Sanda Fuček Šanjić</cp:lastModifiedBy>
  <cp:revision>7</cp:revision>
  <cp:lastPrinted>2017-10-20T08:09:00Z</cp:lastPrinted>
  <dcterms:created xsi:type="dcterms:W3CDTF">2022-12-21T12:42:00Z</dcterms:created>
  <dcterms:modified xsi:type="dcterms:W3CDTF">2023-01-13T14:26:00Z</dcterms:modified>
</cp:coreProperties>
</file>